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page" w:horzAnchor="margin" w:tblpXSpec="center" w:tblpY="681"/>
        <w:tblW w:w="10598" w:type="dxa"/>
        <w:tblLayout w:type="fixed"/>
        <w:tblLook w:val="04A0" w:firstRow="1" w:lastRow="0" w:firstColumn="1" w:lastColumn="0" w:noHBand="0" w:noVBand="1"/>
      </w:tblPr>
      <w:tblGrid>
        <w:gridCol w:w="534"/>
        <w:gridCol w:w="425"/>
        <w:gridCol w:w="307"/>
        <w:gridCol w:w="3095"/>
        <w:gridCol w:w="1417"/>
        <w:gridCol w:w="2410"/>
        <w:gridCol w:w="2410"/>
      </w:tblGrid>
      <w:tr w:rsidR="00E57508" w:rsidRPr="009A16D0" w:rsidTr="002048CC">
        <w:trPr>
          <w:trHeight w:val="1267"/>
        </w:trPr>
        <w:tc>
          <w:tcPr>
            <w:tcW w:w="5778" w:type="dxa"/>
            <w:gridSpan w:val="5"/>
            <w:tcBorders>
              <w:bottom w:val="nil"/>
            </w:tcBorders>
          </w:tcPr>
          <w:p w:rsidR="00E57508" w:rsidRPr="009A16D0" w:rsidRDefault="00E57508" w:rsidP="00960C39">
            <w:pPr>
              <w:rPr>
                <w:rFonts w:ascii="Times New Roman" w:hAnsi="Times New Roman" w:cs="Times New Roman"/>
                <w:sz w:val="20"/>
                <w:szCs w:val="20"/>
              </w:rPr>
            </w:pPr>
            <w:r w:rsidRPr="00B549AE">
              <w:rPr>
                <w:rFonts w:ascii="Times New Roman" w:hAnsi="Times New Roman" w:cs="Times New Roman"/>
                <w:noProof/>
                <w:sz w:val="20"/>
                <w:szCs w:val="20"/>
                <w:lang w:eastAsia="fr-FR"/>
              </w:rPr>
              <mc:AlternateContent>
                <mc:Choice Requires="wps">
                  <w:drawing>
                    <wp:anchor distT="0" distB="0" distL="114300" distR="114300" simplePos="0" relativeHeight="251661312" behindDoc="0" locked="0" layoutInCell="1" allowOverlap="1" wp14:anchorId="23D8F333" wp14:editId="54F6B601">
                      <wp:simplePos x="0" y="0"/>
                      <wp:positionH relativeFrom="column">
                        <wp:posOffset>749300</wp:posOffset>
                      </wp:positionH>
                      <wp:positionV relativeFrom="paragraph">
                        <wp:posOffset>169545</wp:posOffset>
                      </wp:positionV>
                      <wp:extent cx="2801620" cy="515620"/>
                      <wp:effectExtent l="0" t="0" r="0" b="0"/>
                      <wp:wrapSquare wrapText="bothSides"/>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515620"/>
                              </a:xfrm>
                              <a:prstGeom prst="rect">
                                <a:avLst/>
                              </a:prstGeom>
                              <a:solidFill>
                                <a:srgbClr val="FFFFFF"/>
                              </a:solidFill>
                              <a:ln w="9525">
                                <a:noFill/>
                                <a:miter lim="800000"/>
                                <a:headEnd/>
                                <a:tailEnd/>
                              </a:ln>
                            </wps:spPr>
                            <wps:txbx>
                              <w:txbxContent>
                                <w:p w:rsidR="00E57508" w:rsidRPr="00894698" w:rsidRDefault="00E57508">
                                  <w:pPr>
                                    <w:rPr>
                                      <w:rFonts w:ascii="Times New Roman" w:hAnsi="Times New Roman" w:cs="Times New Roman"/>
                                      <w:b/>
                                      <w:sz w:val="28"/>
                                    </w:rPr>
                                  </w:pPr>
                                  <w:r w:rsidRPr="00894698">
                                    <w:rPr>
                                      <w:rFonts w:ascii="Times New Roman" w:hAnsi="Times New Roman" w:cs="Times New Roman"/>
                                      <w:b/>
                                      <w:sz w:val="28"/>
                                    </w:rPr>
                                    <w:t>D.E.F.I.J – Division de l’Expertise Financière et Juridique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9pt;margin-top:13.35pt;width:220.6pt;height:4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" stroked="f">
                      <v:textbox>
                        <w:txbxContent>
                          <w:p w:rsidR="00E57508" w:rsidRPr="00894698" w:rsidRDefault="00E57508">
                            <w:pPr>
                              <w:rPr>
                                <w:rFonts w:ascii="Times New Roman" w:hAnsi="Times New Roman" w:cs="Times New Roman"/>
                                <w:b/>
                                <w:sz w:val="28"/>
                              </w:rPr>
                            </w:pPr>
                            <w:r w:rsidRPr="00894698">
                              <w:rPr>
                                <w:rFonts w:ascii="Times New Roman" w:hAnsi="Times New Roman" w:cs="Times New Roman"/>
                                <w:b/>
                                <w:sz w:val="28"/>
                              </w:rPr>
                              <w:t>D.E.F.I.J – Division de l’Expertise Financière et Juridique</w:t>
                            </w:r>
                          </w:p>
                        </w:txbxContent>
                      </v:textbox>
                      <w10:wrap type="square"/>
                    </v:shape>
                  </w:pict>
                </mc:Fallback>
              </mc:AlternateContent>
            </w:r>
            <w:r>
              <w:rPr>
                <w:rFonts w:ascii="Times New Roman" w:hAnsi="Times New Roman" w:cs="Times New Roman"/>
                <w:noProof/>
                <w:sz w:val="20"/>
                <w:szCs w:val="20"/>
                <w:lang w:eastAsia="fr-FR"/>
              </w:rPr>
              <w:drawing>
                <wp:inline distT="0" distB="0" distL="0" distR="0" wp14:anchorId="17B13356" wp14:editId="040B1E19">
                  <wp:extent cx="620785" cy="779416"/>
                  <wp:effectExtent l="0" t="0" r="825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ie_ca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388" cy="780173"/>
                          </a:xfrm>
                          <a:prstGeom prst="rect">
                            <a:avLst/>
                          </a:prstGeom>
                        </pic:spPr>
                      </pic:pic>
                    </a:graphicData>
                  </a:graphic>
                </wp:inline>
              </w:drawing>
            </w:r>
          </w:p>
        </w:tc>
        <w:tc>
          <w:tcPr>
            <w:tcW w:w="4820" w:type="dxa"/>
            <w:gridSpan w:val="2"/>
            <w:tcBorders>
              <w:bottom w:val="single" w:sz="4" w:space="0" w:color="auto"/>
            </w:tcBorders>
            <w:shd w:val="clear" w:color="auto" w:fill="DBE5F1" w:themeFill="accent1" w:themeFillTint="33"/>
            <w:vAlign w:val="center"/>
          </w:tcPr>
          <w:p w:rsidR="00743EC0" w:rsidRPr="00743EC0" w:rsidRDefault="00743EC0" w:rsidP="00743EC0">
            <w:pPr>
              <w:jc w:val="center"/>
              <w:rPr>
                <w:rFonts w:ascii="Times New Roman" w:hAnsi="Times New Roman" w:cs="Times New Roman"/>
                <w:szCs w:val="20"/>
              </w:rPr>
            </w:pPr>
            <w:r w:rsidRPr="00743EC0">
              <w:rPr>
                <w:rFonts w:ascii="Times New Roman" w:hAnsi="Times New Roman" w:cs="Times New Roman"/>
                <w:szCs w:val="20"/>
              </w:rPr>
              <w:t>Formation ESEN</w:t>
            </w:r>
          </w:p>
          <w:p w:rsidR="00E57508" w:rsidRPr="00743EC0" w:rsidRDefault="00743EC0" w:rsidP="00743EC0">
            <w:pPr>
              <w:jc w:val="center"/>
              <w:rPr>
                <w:rFonts w:ascii="Times New Roman" w:hAnsi="Times New Roman" w:cs="Times New Roman"/>
                <w:szCs w:val="20"/>
              </w:rPr>
            </w:pPr>
            <w:r w:rsidRPr="00743EC0">
              <w:rPr>
                <w:rFonts w:ascii="Times New Roman" w:hAnsi="Times New Roman" w:cs="Times New Roman"/>
                <w:szCs w:val="20"/>
              </w:rPr>
              <w:t>Réforme GBCP : enjeux / impacts et conséquences</w:t>
            </w:r>
          </w:p>
          <w:p w:rsidR="00743EC0" w:rsidRPr="00743EC0" w:rsidRDefault="00743EC0" w:rsidP="00743EC0">
            <w:pPr>
              <w:jc w:val="center"/>
              <w:rPr>
                <w:rFonts w:ascii="Times New Roman" w:hAnsi="Times New Roman" w:cs="Times New Roman"/>
                <w:szCs w:val="20"/>
              </w:rPr>
            </w:pPr>
          </w:p>
          <w:p w:rsidR="00743EC0" w:rsidRPr="00AC4C01" w:rsidRDefault="00743EC0" w:rsidP="00743EC0">
            <w:pPr>
              <w:jc w:val="center"/>
              <w:rPr>
                <w:rFonts w:ascii="Times New Roman" w:hAnsi="Times New Roman" w:cs="Times New Roman"/>
                <w:b/>
                <w:sz w:val="20"/>
                <w:szCs w:val="20"/>
              </w:rPr>
            </w:pPr>
            <w:r w:rsidRPr="00743EC0">
              <w:rPr>
                <w:rFonts w:ascii="Times New Roman" w:hAnsi="Times New Roman" w:cs="Times New Roman"/>
                <w:szCs w:val="20"/>
              </w:rPr>
              <w:t>21 au 23 mai 2014</w:t>
            </w:r>
          </w:p>
        </w:tc>
      </w:tr>
      <w:tr w:rsidR="00747D06" w:rsidRPr="00747D06" w:rsidTr="00375ACC">
        <w:tc>
          <w:tcPr>
            <w:tcW w:w="1266" w:type="dxa"/>
            <w:gridSpan w:val="3"/>
          </w:tcPr>
          <w:p w:rsidR="00747D06" w:rsidRPr="009A16D0" w:rsidRDefault="00747D06" w:rsidP="00960C39">
            <w:pPr>
              <w:rPr>
                <w:rFonts w:ascii="Times New Roman" w:hAnsi="Times New Roman" w:cs="Times New Roman"/>
                <w:sz w:val="20"/>
                <w:szCs w:val="20"/>
              </w:rPr>
            </w:pPr>
          </w:p>
          <w:p w:rsidR="00747D06" w:rsidRPr="009A16D0" w:rsidRDefault="00747D06" w:rsidP="00960C39">
            <w:pPr>
              <w:rPr>
                <w:rFonts w:ascii="Times New Roman" w:hAnsi="Times New Roman" w:cs="Times New Roman"/>
                <w:sz w:val="20"/>
                <w:szCs w:val="20"/>
              </w:rPr>
            </w:pPr>
          </w:p>
          <w:p w:rsidR="00747D06" w:rsidRPr="009A16D0" w:rsidRDefault="00747D06" w:rsidP="00960C39">
            <w:pPr>
              <w:rPr>
                <w:rFonts w:ascii="Times New Roman" w:hAnsi="Times New Roman" w:cs="Times New Roman"/>
                <w:sz w:val="20"/>
                <w:szCs w:val="20"/>
              </w:rPr>
            </w:pPr>
          </w:p>
          <w:p w:rsidR="00747D06" w:rsidRDefault="00747D06" w:rsidP="00960C39">
            <w:pPr>
              <w:rPr>
                <w:rFonts w:ascii="Times New Roman" w:hAnsi="Times New Roman" w:cs="Times New Roman"/>
                <w:sz w:val="20"/>
                <w:szCs w:val="20"/>
              </w:rPr>
            </w:pPr>
          </w:p>
          <w:p w:rsidR="006F397A" w:rsidRPr="009A16D0" w:rsidRDefault="006F397A" w:rsidP="00960C39">
            <w:pPr>
              <w:rPr>
                <w:rFonts w:ascii="Times New Roman" w:hAnsi="Times New Roman" w:cs="Times New Roman"/>
                <w:sz w:val="20"/>
                <w:szCs w:val="20"/>
              </w:rPr>
            </w:pPr>
          </w:p>
          <w:p w:rsidR="00747D06" w:rsidRDefault="00747D06" w:rsidP="00960C39">
            <w:pPr>
              <w:rPr>
                <w:rFonts w:ascii="Times New Roman" w:hAnsi="Times New Roman" w:cs="Times New Roman"/>
                <w:sz w:val="20"/>
                <w:szCs w:val="20"/>
              </w:rPr>
            </w:pPr>
          </w:p>
          <w:p w:rsidR="008610A2" w:rsidRDefault="008610A2" w:rsidP="00960C39">
            <w:pPr>
              <w:rPr>
                <w:rFonts w:ascii="Times New Roman" w:hAnsi="Times New Roman" w:cs="Times New Roman"/>
                <w:sz w:val="20"/>
                <w:szCs w:val="20"/>
              </w:rPr>
            </w:pPr>
          </w:p>
          <w:p w:rsidR="008A7902" w:rsidRDefault="008A7902" w:rsidP="00960C39">
            <w:pPr>
              <w:rPr>
                <w:rFonts w:ascii="Times New Roman" w:hAnsi="Times New Roman" w:cs="Times New Roman"/>
                <w:sz w:val="20"/>
                <w:szCs w:val="20"/>
              </w:rPr>
            </w:pPr>
          </w:p>
          <w:p w:rsidR="00747D06" w:rsidRPr="008A7902" w:rsidRDefault="008A7902" w:rsidP="00960C39">
            <w:pPr>
              <w:rPr>
                <w:rFonts w:ascii="Times New Roman" w:hAnsi="Times New Roman" w:cs="Times New Roman"/>
                <w:sz w:val="20"/>
                <w:szCs w:val="20"/>
                <w:u w:val="single"/>
              </w:rPr>
            </w:pPr>
            <w:r w:rsidRPr="008A7902">
              <w:rPr>
                <w:rFonts w:ascii="Times New Roman" w:hAnsi="Times New Roman" w:cs="Times New Roman"/>
                <w:sz w:val="20"/>
                <w:szCs w:val="20"/>
                <w:u w:val="single"/>
              </w:rPr>
              <w:t>Intervenants </w:t>
            </w:r>
          </w:p>
        </w:tc>
        <w:tc>
          <w:tcPr>
            <w:tcW w:w="3095" w:type="dxa"/>
          </w:tcPr>
          <w:p w:rsidR="006F397A" w:rsidRDefault="006F397A" w:rsidP="008A7902">
            <w:pPr>
              <w:rPr>
                <w:rFonts w:ascii="Times New Roman" w:hAnsi="Times New Roman" w:cs="Times New Roman"/>
                <w:sz w:val="20"/>
                <w:szCs w:val="20"/>
              </w:rPr>
            </w:pPr>
          </w:p>
          <w:p w:rsidR="008A7902" w:rsidRPr="008A7902" w:rsidRDefault="008A7902" w:rsidP="008A7902">
            <w:pPr>
              <w:rPr>
                <w:rFonts w:ascii="Times New Roman" w:hAnsi="Times New Roman" w:cs="Times New Roman"/>
                <w:sz w:val="20"/>
                <w:szCs w:val="20"/>
              </w:rPr>
            </w:pPr>
            <w:r w:rsidRPr="008A7902">
              <w:rPr>
                <w:rFonts w:ascii="Times New Roman" w:hAnsi="Times New Roman" w:cs="Times New Roman"/>
                <w:sz w:val="20"/>
                <w:szCs w:val="20"/>
              </w:rPr>
              <w:t>Thierry BERGEONNEAU</w:t>
            </w:r>
          </w:p>
          <w:p w:rsidR="008A7902" w:rsidRPr="008A7902" w:rsidRDefault="008A7902" w:rsidP="008A7902">
            <w:pPr>
              <w:rPr>
                <w:rFonts w:ascii="Times New Roman" w:hAnsi="Times New Roman" w:cs="Times New Roman"/>
                <w:sz w:val="20"/>
                <w:szCs w:val="20"/>
              </w:rPr>
            </w:pPr>
            <w:r w:rsidRPr="008A7902">
              <w:rPr>
                <w:rFonts w:ascii="Times New Roman" w:hAnsi="Times New Roman" w:cs="Times New Roman"/>
                <w:sz w:val="20"/>
                <w:szCs w:val="20"/>
              </w:rPr>
              <w:t>Françoise GRANIE-CARBONELL</w:t>
            </w:r>
          </w:p>
          <w:p w:rsidR="008A7902" w:rsidRPr="008A7902" w:rsidRDefault="008A7902" w:rsidP="008A7902">
            <w:pPr>
              <w:rPr>
                <w:rFonts w:ascii="Times New Roman" w:hAnsi="Times New Roman" w:cs="Times New Roman"/>
                <w:sz w:val="20"/>
                <w:szCs w:val="20"/>
              </w:rPr>
            </w:pPr>
            <w:r w:rsidRPr="008A7902">
              <w:rPr>
                <w:rFonts w:ascii="Times New Roman" w:hAnsi="Times New Roman" w:cs="Times New Roman"/>
                <w:sz w:val="20"/>
                <w:szCs w:val="20"/>
              </w:rPr>
              <w:t>Claire LE COUEDIC</w:t>
            </w:r>
          </w:p>
          <w:p w:rsidR="008A7902" w:rsidRPr="008A7902" w:rsidRDefault="008A7902" w:rsidP="008A7902">
            <w:pPr>
              <w:rPr>
                <w:rFonts w:ascii="Times New Roman" w:hAnsi="Times New Roman" w:cs="Times New Roman"/>
                <w:sz w:val="20"/>
                <w:szCs w:val="20"/>
              </w:rPr>
            </w:pPr>
            <w:r>
              <w:rPr>
                <w:rFonts w:ascii="Times New Roman" w:hAnsi="Times New Roman" w:cs="Times New Roman"/>
                <w:sz w:val="20"/>
                <w:szCs w:val="20"/>
              </w:rPr>
              <w:t>Loris ARDITO</w:t>
            </w:r>
          </w:p>
          <w:p w:rsidR="008A7902" w:rsidRPr="008A7902" w:rsidRDefault="008A7902" w:rsidP="008A7902">
            <w:pPr>
              <w:rPr>
                <w:rFonts w:ascii="Times New Roman" w:hAnsi="Times New Roman" w:cs="Times New Roman"/>
                <w:sz w:val="20"/>
                <w:szCs w:val="20"/>
              </w:rPr>
            </w:pPr>
            <w:r w:rsidRPr="008A7902">
              <w:rPr>
                <w:rFonts w:ascii="Times New Roman" w:hAnsi="Times New Roman" w:cs="Times New Roman"/>
                <w:sz w:val="20"/>
                <w:szCs w:val="20"/>
              </w:rPr>
              <w:t>Frédéric FOREST</w:t>
            </w:r>
          </w:p>
          <w:p w:rsidR="008A7902" w:rsidRPr="008A7902" w:rsidRDefault="008A7902" w:rsidP="008A7902">
            <w:pPr>
              <w:rPr>
                <w:rFonts w:ascii="Times New Roman" w:hAnsi="Times New Roman" w:cs="Times New Roman"/>
                <w:sz w:val="20"/>
                <w:szCs w:val="20"/>
              </w:rPr>
            </w:pPr>
            <w:r w:rsidRPr="008A7902">
              <w:rPr>
                <w:rFonts w:ascii="Times New Roman" w:hAnsi="Times New Roman" w:cs="Times New Roman"/>
                <w:sz w:val="20"/>
                <w:szCs w:val="20"/>
              </w:rPr>
              <w:t xml:space="preserve">Didier </w:t>
            </w:r>
            <w:r>
              <w:rPr>
                <w:rFonts w:ascii="Times New Roman" w:hAnsi="Times New Roman" w:cs="Times New Roman"/>
                <w:sz w:val="20"/>
                <w:szCs w:val="20"/>
              </w:rPr>
              <w:t>JESTIN</w:t>
            </w:r>
          </w:p>
          <w:p w:rsidR="008A7902" w:rsidRPr="008A7902" w:rsidRDefault="008A7902" w:rsidP="008A7902">
            <w:pPr>
              <w:rPr>
                <w:rFonts w:ascii="Times New Roman" w:hAnsi="Times New Roman" w:cs="Times New Roman"/>
                <w:sz w:val="20"/>
                <w:szCs w:val="20"/>
              </w:rPr>
            </w:pPr>
            <w:r>
              <w:rPr>
                <w:rFonts w:ascii="Times New Roman" w:hAnsi="Times New Roman" w:cs="Times New Roman"/>
                <w:sz w:val="20"/>
                <w:szCs w:val="20"/>
              </w:rPr>
              <w:t>Anne BENNET</w:t>
            </w:r>
          </w:p>
          <w:p w:rsidR="008A7902" w:rsidRPr="008A7902" w:rsidRDefault="008A7902" w:rsidP="008A7902">
            <w:pPr>
              <w:rPr>
                <w:rFonts w:ascii="Times New Roman" w:hAnsi="Times New Roman" w:cs="Times New Roman"/>
                <w:sz w:val="20"/>
                <w:szCs w:val="20"/>
              </w:rPr>
            </w:pPr>
            <w:r w:rsidRPr="008A7902">
              <w:rPr>
                <w:rFonts w:ascii="Times New Roman" w:hAnsi="Times New Roman" w:cs="Times New Roman"/>
                <w:sz w:val="20"/>
                <w:szCs w:val="20"/>
              </w:rPr>
              <w:t>Maryse DARNAUDGUILHEM</w:t>
            </w:r>
          </w:p>
          <w:p w:rsidR="008A7902" w:rsidRPr="008A7902" w:rsidRDefault="008A7902" w:rsidP="008A7902">
            <w:pPr>
              <w:rPr>
                <w:rFonts w:ascii="Times New Roman" w:hAnsi="Times New Roman" w:cs="Times New Roman"/>
                <w:sz w:val="20"/>
                <w:szCs w:val="20"/>
              </w:rPr>
            </w:pPr>
            <w:r w:rsidRPr="008A7902">
              <w:rPr>
                <w:rFonts w:ascii="Times New Roman" w:hAnsi="Times New Roman" w:cs="Times New Roman"/>
                <w:sz w:val="20"/>
                <w:szCs w:val="20"/>
              </w:rPr>
              <w:t>Florence DAVOINE</w:t>
            </w:r>
          </w:p>
          <w:p w:rsidR="008A7902" w:rsidRPr="008A7902" w:rsidRDefault="008A7902" w:rsidP="008A7902">
            <w:pPr>
              <w:rPr>
                <w:rFonts w:ascii="Times New Roman" w:hAnsi="Times New Roman" w:cs="Times New Roman"/>
                <w:sz w:val="20"/>
                <w:szCs w:val="20"/>
              </w:rPr>
            </w:pPr>
            <w:r w:rsidRPr="008A7902">
              <w:rPr>
                <w:rFonts w:ascii="Times New Roman" w:hAnsi="Times New Roman" w:cs="Times New Roman"/>
                <w:sz w:val="20"/>
                <w:szCs w:val="20"/>
              </w:rPr>
              <w:t>Sabine FOULON</w:t>
            </w:r>
          </w:p>
          <w:p w:rsidR="008A7902" w:rsidRPr="008A7902" w:rsidRDefault="008A7902" w:rsidP="008A7902">
            <w:pPr>
              <w:rPr>
                <w:rFonts w:ascii="Times New Roman" w:hAnsi="Times New Roman" w:cs="Times New Roman"/>
                <w:sz w:val="20"/>
                <w:szCs w:val="20"/>
              </w:rPr>
            </w:pPr>
            <w:r w:rsidRPr="008A7902">
              <w:rPr>
                <w:rFonts w:ascii="Times New Roman" w:hAnsi="Times New Roman" w:cs="Times New Roman"/>
                <w:sz w:val="20"/>
                <w:szCs w:val="20"/>
              </w:rPr>
              <w:t>Pascal PAIN</w:t>
            </w:r>
          </w:p>
          <w:p w:rsidR="008A7902" w:rsidRPr="008A7902" w:rsidRDefault="008A7902" w:rsidP="008A7902">
            <w:pPr>
              <w:rPr>
                <w:rFonts w:ascii="Times New Roman" w:hAnsi="Times New Roman" w:cs="Times New Roman"/>
                <w:sz w:val="20"/>
                <w:szCs w:val="20"/>
              </w:rPr>
            </w:pPr>
            <w:r>
              <w:rPr>
                <w:rFonts w:ascii="Times New Roman" w:hAnsi="Times New Roman" w:cs="Times New Roman"/>
                <w:sz w:val="20"/>
                <w:szCs w:val="20"/>
              </w:rPr>
              <w:t>Serge BOURGINE</w:t>
            </w:r>
          </w:p>
          <w:p w:rsidR="008A7902" w:rsidRPr="008A7902" w:rsidRDefault="008A7902" w:rsidP="008A7902">
            <w:pPr>
              <w:rPr>
                <w:rFonts w:ascii="Times New Roman" w:hAnsi="Times New Roman" w:cs="Times New Roman"/>
                <w:sz w:val="20"/>
                <w:szCs w:val="20"/>
              </w:rPr>
            </w:pPr>
            <w:r w:rsidRPr="008A7902">
              <w:rPr>
                <w:rFonts w:ascii="Times New Roman" w:hAnsi="Times New Roman" w:cs="Times New Roman"/>
                <w:sz w:val="20"/>
                <w:szCs w:val="20"/>
              </w:rPr>
              <w:t>Géraldine CECCONI</w:t>
            </w:r>
          </w:p>
          <w:p w:rsidR="008A7902" w:rsidRPr="008A7902" w:rsidRDefault="008A7902" w:rsidP="008A7902">
            <w:pPr>
              <w:rPr>
                <w:rFonts w:ascii="Times New Roman" w:hAnsi="Times New Roman" w:cs="Times New Roman"/>
                <w:sz w:val="20"/>
                <w:szCs w:val="20"/>
              </w:rPr>
            </w:pPr>
            <w:r w:rsidRPr="008A7902">
              <w:rPr>
                <w:rFonts w:ascii="Times New Roman" w:hAnsi="Times New Roman" w:cs="Times New Roman"/>
                <w:sz w:val="20"/>
                <w:szCs w:val="20"/>
              </w:rPr>
              <w:t>Florent DE BECDELIEVRE</w:t>
            </w:r>
          </w:p>
          <w:p w:rsidR="008A7902" w:rsidRPr="008A7902" w:rsidRDefault="008A7902" w:rsidP="008A7902">
            <w:pPr>
              <w:rPr>
                <w:rFonts w:ascii="Times New Roman" w:hAnsi="Times New Roman" w:cs="Times New Roman"/>
                <w:sz w:val="20"/>
                <w:szCs w:val="20"/>
              </w:rPr>
            </w:pPr>
            <w:r>
              <w:rPr>
                <w:rFonts w:ascii="Times New Roman" w:hAnsi="Times New Roman" w:cs="Times New Roman"/>
                <w:sz w:val="20"/>
                <w:szCs w:val="20"/>
              </w:rPr>
              <w:t>Bernard HADDAD</w:t>
            </w:r>
          </w:p>
          <w:p w:rsidR="001517A8" w:rsidRDefault="008A7902" w:rsidP="008A7902">
            <w:pPr>
              <w:rPr>
                <w:rFonts w:ascii="Times New Roman" w:hAnsi="Times New Roman" w:cs="Times New Roman"/>
                <w:sz w:val="20"/>
                <w:szCs w:val="20"/>
              </w:rPr>
            </w:pPr>
            <w:r w:rsidRPr="008A7902">
              <w:rPr>
                <w:rFonts w:ascii="Times New Roman" w:hAnsi="Times New Roman" w:cs="Times New Roman"/>
                <w:sz w:val="20"/>
                <w:szCs w:val="20"/>
              </w:rPr>
              <w:t>Guy LE VAILLANT</w:t>
            </w:r>
          </w:p>
          <w:p w:rsidR="006F397A" w:rsidRPr="001517A8" w:rsidRDefault="006F397A" w:rsidP="008A7902">
            <w:pPr>
              <w:rPr>
                <w:rFonts w:ascii="Times New Roman" w:hAnsi="Times New Roman" w:cs="Times New Roman"/>
                <w:sz w:val="20"/>
                <w:szCs w:val="20"/>
              </w:rPr>
            </w:pPr>
          </w:p>
        </w:tc>
        <w:tc>
          <w:tcPr>
            <w:tcW w:w="6237" w:type="dxa"/>
            <w:gridSpan w:val="3"/>
          </w:tcPr>
          <w:p w:rsidR="006F397A" w:rsidRDefault="006F397A" w:rsidP="008A7902">
            <w:pPr>
              <w:pStyle w:val="Titre3"/>
              <w:spacing w:before="0" w:beforeAutospacing="0" w:after="0" w:afterAutospacing="0"/>
              <w:outlineLvl w:val="2"/>
              <w:rPr>
                <w:b w:val="0"/>
                <w:bCs w:val="0"/>
                <w:sz w:val="20"/>
                <w:szCs w:val="23"/>
                <w:lang w:val="de-DE"/>
              </w:rPr>
            </w:pPr>
          </w:p>
          <w:p w:rsidR="008A7902" w:rsidRPr="008A7902" w:rsidRDefault="008A7902" w:rsidP="008A7902">
            <w:pPr>
              <w:pStyle w:val="Titre3"/>
              <w:spacing w:before="0" w:beforeAutospacing="0" w:after="0" w:afterAutospacing="0"/>
              <w:outlineLvl w:val="2"/>
              <w:rPr>
                <w:b w:val="0"/>
                <w:bCs w:val="0"/>
                <w:sz w:val="20"/>
                <w:szCs w:val="23"/>
                <w:lang w:val="de-DE"/>
              </w:rPr>
            </w:pPr>
            <w:r w:rsidRPr="008A7902">
              <w:rPr>
                <w:b w:val="0"/>
                <w:bCs w:val="0"/>
                <w:sz w:val="20"/>
                <w:szCs w:val="23"/>
                <w:lang w:val="de-DE"/>
              </w:rPr>
              <w:t>MENESR - DAF</w:t>
            </w:r>
          </w:p>
          <w:p w:rsidR="008A7902" w:rsidRPr="008A7902" w:rsidRDefault="008A7902" w:rsidP="008A7902">
            <w:pPr>
              <w:pStyle w:val="Titre3"/>
              <w:spacing w:before="0" w:beforeAutospacing="0" w:after="0" w:afterAutospacing="0"/>
              <w:outlineLvl w:val="2"/>
              <w:rPr>
                <w:b w:val="0"/>
                <w:bCs w:val="0"/>
                <w:sz w:val="20"/>
                <w:szCs w:val="23"/>
                <w:lang w:val="de-DE"/>
              </w:rPr>
            </w:pPr>
            <w:r w:rsidRPr="008A7902">
              <w:rPr>
                <w:b w:val="0"/>
                <w:bCs w:val="0"/>
                <w:sz w:val="20"/>
                <w:szCs w:val="23"/>
                <w:lang w:val="de-DE"/>
              </w:rPr>
              <w:t>MENESR - DAF</w:t>
            </w:r>
          </w:p>
          <w:p w:rsidR="008A7902" w:rsidRPr="008A7902" w:rsidRDefault="008A7902" w:rsidP="008A7902">
            <w:pPr>
              <w:pStyle w:val="Titre3"/>
              <w:spacing w:before="0" w:beforeAutospacing="0" w:after="0" w:afterAutospacing="0"/>
              <w:outlineLvl w:val="2"/>
              <w:rPr>
                <w:b w:val="0"/>
                <w:bCs w:val="0"/>
                <w:sz w:val="20"/>
                <w:szCs w:val="23"/>
                <w:lang w:val="de-DE"/>
              </w:rPr>
            </w:pPr>
            <w:r w:rsidRPr="008A7902">
              <w:rPr>
                <w:b w:val="0"/>
                <w:bCs w:val="0"/>
                <w:sz w:val="20"/>
                <w:szCs w:val="23"/>
                <w:lang w:val="de-DE"/>
              </w:rPr>
              <w:t xml:space="preserve">MENESR - DAF </w:t>
            </w:r>
          </w:p>
          <w:p w:rsidR="001517A8" w:rsidRPr="008A7902" w:rsidRDefault="008A7902" w:rsidP="008A7902">
            <w:pPr>
              <w:pStyle w:val="Titre3"/>
              <w:spacing w:before="0" w:beforeAutospacing="0" w:after="0" w:afterAutospacing="0"/>
              <w:outlineLvl w:val="2"/>
              <w:rPr>
                <w:b w:val="0"/>
                <w:bCs w:val="0"/>
                <w:sz w:val="20"/>
                <w:szCs w:val="23"/>
                <w:lang w:val="de-DE"/>
              </w:rPr>
            </w:pPr>
            <w:r w:rsidRPr="008A7902">
              <w:rPr>
                <w:b w:val="0"/>
                <w:bCs w:val="0"/>
                <w:sz w:val="20"/>
                <w:szCs w:val="23"/>
                <w:lang w:val="de-DE"/>
              </w:rPr>
              <w:t xml:space="preserve">MENESR - </w:t>
            </w:r>
            <w:r>
              <w:rPr>
                <w:b w:val="0"/>
                <w:bCs w:val="0"/>
                <w:sz w:val="20"/>
                <w:szCs w:val="23"/>
                <w:lang w:val="de-DE"/>
              </w:rPr>
              <w:t>DAF</w:t>
            </w:r>
          </w:p>
          <w:p w:rsidR="008A7902" w:rsidRPr="008A7902" w:rsidRDefault="008A7902" w:rsidP="008A7902">
            <w:pPr>
              <w:rPr>
                <w:rFonts w:ascii="Times New Roman" w:hAnsi="Times New Roman" w:cs="Times New Roman"/>
                <w:sz w:val="20"/>
                <w:szCs w:val="20"/>
                <w:lang w:val="en-US"/>
              </w:rPr>
            </w:pPr>
            <w:r w:rsidRPr="008A7902">
              <w:rPr>
                <w:rFonts w:ascii="Times New Roman" w:hAnsi="Times New Roman" w:cs="Times New Roman"/>
                <w:sz w:val="20"/>
                <w:szCs w:val="20"/>
                <w:lang w:val="en-US"/>
              </w:rPr>
              <w:t>MENESR – DGESIP</w:t>
            </w:r>
          </w:p>
          <w:p w:rsidR="008A7902" w:rsidRPr="008A7902" w:rsidRDefault="008A7902" w:rsidP="008A7902">
            <w:pPr>
              <w:rPr>
                <w:rFonts w:ascii="Times New Roman" w:hAnsi="Times New Roman" w:cs="Times New Roman"/>
                <w:sz w:val="20"/>
                <w:szCs w:val="20"/>
                <w:lang w:val="en-US"/>
              </w:rPr>
            </w:pPr>
            <w:r w:rsidRPr="008A7902">
              <w:rPr>
                <w:rFonts w:ascii="Times New Roman" w:hAnsi="Times New Roman" w:cs="Times New Roman"/>
                <w:sz w:val="20"/>
                <w:szCs w:val="20"/>
                <w:lang w:val="en-US"/>
              </w:rPr>
              <w:t>MENESR – DGESIP</w:t>
            </w:r>
          </w:p>
          <w:p w:rsidR="008A7902" w:rsidRPr="00C32084" w:rsidRDefault="008A7902" w:rsidP="008A7902">
            <w:pPr>
              <w:rPr>
                <w:rFonts w:ascii="Times New Roman" w:hAnsi="Times New Roman" w:cs="Times New Roman"/>
                <w:sz w:val="20"/>
                <w:szCs w:val="20"/>
              </w:rPr>
            </w:pPr>
            <w:r w:rsidRPr="00C32084">
              <w:rPr>
                <w:rFonts w:ascii="Times New Roman" w:hAnsi="Times New Roman" w:cs="Times New Roman"/>
                <w:sz w:val="20"/>
                <w:szCs w:val="20"/>
              </w:rPr>
              <w:t>MENESR – DGESIP</w:t>
            </w:r>
          </w:p>
          <w:p w:rsidR="008A7902" w:rsidRPr="008A7902" w:rsidRDefault="008A7902" w:rsidP="008A7902">
            <w:pPr>
              <w:rPr>
                <w:rFonts w:ascii="Times New Roman" w:hAnsi="Times New Roman" w:cs="Times New Roman"/>
                <w:sz w:val="20"/>
                <w:szCs w:val="20"/>
              </w:rPr>
            </w:pPr>
            <w:r w:rsidRPr="008A7902">
              <w:rPr>
                <w:rFonts w:ascii="Times New Roman" w:hAnsi="Times New Roman" w:cs="Times New Roman"/>
                <w:sz w:val="20"/>
                <w:szCs w:val="20"/>
              </w:rPr>
              <w:t>Secrétaire générale adjointe, Rectorat de Versailles</w:t>
            </w:r>
          </w:p>
          <w:p w:rsidR="008A7902" w:rsidRPr="008A7902" w:rsidRDefault="008A7902" w:rsidP="008A7902">
            <w:pPr>
              <w:rPr>
                <w:rFonts w:ascii="Times New Roman" w:hAnsi="Times New Roman" w:cs="Times New Roman"/>
                <w:sz w:val="20"/>
                <w:szCs w:val="20"/>
              </w:rPr>
            </w:pPr>
            <w:r w:rsidRPr="008A7902">
              <w:rPr>
                <w:rFonts w:ascii="Times New Roman" w:hAnsi="Times New Roman" w:cs="Times New Roman"/>
                <w:sz w:val="20"/>
                <w:szCs w:val="20"/>
              </w:rPr>
              <w:t>Service Contrats et opérations pluriannuelles - ENS Lyon</w:t>
            </w:r>
          </w:p>
          <w:p w:rsidR="008A7902" w:rsidRDefault="008A7902" w:rsidP="008A7902">
            <w:pPr>
              <w:rPr>
                <w:rFonts w:ascii="Times New Roman" w:hAnsi="Times New Roman" w:cs="Times New Roman"/>
                <w:sz w:val="20"/>
                <w:szCs w:val="20"/>
              </w:rPr>
            </w:pPr>
            <w:r w:rsidRPr="008A7902">
              <w:rPr>
                <w:rFonts w:ascii="Times New Roman" w:hAnsi="Times New Roman" w:cs="Times New Roman"/>
                <w:sz w:val="20"/>
                <w:szCs w:val="20"/>
              </w:rPr>
              <w:t>Division de l’Enseignement Supérieu</w:t>
            </w:r>
            <w:r>
              <w:rPr>
                <w:rFonts w:ascii="Times New Roman" w:hAnsi="Times New Roman" w:cs="Times New Roman"/>
                <w:sz w:val="20"/>
                <w:szCs w:val="20"/>
              </w:rPr>
              <w:t xml:space="preserve">r - Rectorat de Toulouse </w:t>
            </w:r>
          </w:p>
          <w:p w:rsidR="008A7902" w:rsidRPr="008A7902" w:rsidRDefault="008A7902" w:rsidP="008A7902">
            <w:pPr>
              <w:rPr>
                <w:rFonts w:ascii="Times New Roman" w:hAnsi="Times New Roman" w:cs="Times New Roman"/>
                <w:sz w:val="20"/>
                <w:szCs w:val="20"/>
              </w:rPr>
            </w:pPr>
            <w:r>
              <w:rPr>
                <w:rFonts w:ascii="Times New Roman" w:hAnsi="Times New Roman" w:cs="Times New Roman"/>
                <w:sz w:val="20"/>
                <w:szCs w:val="20"/>
              </w:rPr>
              <w:t>Agent C</w:t>
            </w:r>
            <w:r w:rsidRPr="008A7902">
              <w:rPr>
                <w:rFonts w:ascii="Times New Roman" w:hAnsi="Times New Roman" w:cs="Times New Roman"/>
                <w:sz w:val="20"/>
                <w:szCs w:val="20"/>
              </w:rPr>
              <w:t>omptable, Université Paris Sorbonne</w:t>
            </w:r>
          </w:p>
          <w:p w:rsidR="008A7902" w:rsidRDefault="008A7902" w:rsidP="008A7902">
            <w:pPr>
              <w:rPr>
                <w:rFonts w:ascii="Times New Roman" w:hAnsi="Times New Roman" w:cs="Times New Roman"/>
                <w:sz w:val="20"/>
                <w:szCs w:val="20"/>
              </w:rPr>
            </w:pPr>
            <w:r w:rsidRPr="008A7902">
              <w:rPr>
                <w:rFonts w:ascii="Times New Roman" w:hAnsi="Times New Roman" w:cs="Times New Roman"/>
                <w:sz w:val="20"/>
                <w:szCs w:val="20"/>
              </w:rPr>
              <w:t xml:space="preserve">Agence de Mutualisation des Universités et Etablissements </w:t>
            </w:r>
            <w:r>
              <w:rPr>
                <w:rFonts w:ascii="Times New Roman" w:hAnsi="Times New Roman" w:cs="Times New Roman"/>
                <w:sz w:val="20"/>
                <w:szCs w:val="20"/>
              </w:rPr>
              <w:t>–</w:t>
            </w:r>
            <w:r w:rsidRPr="008A7902">
              <w:rPr>
                <w:rFonts w:ascii="Times New Roman" w:hAnsi="Times New Roman" w:cs="Times New Roman"/>
                <w:sz w:val="20"/>
                <w:szCs w:val="20"/>
              </w:rPr>
              <w:t xml:space="preserve"> AMUE</w:t>
            </w:r>
          </w:p>
          <w:p w:rsidR="008A7902" w:rsidRPr="008A7902" w:rsidRDefault="008A7902" w:rsidP="008A7902">
            <w:pPr>
              <w:rPr>
                <w:rFonts w:ascii="Times New Roman" w:hAnsi="Times New Roman" w:cs="Times New Roman"/>
                <w:sz w:val="20"/>
                <w:szCs w:val="20"/>
              </w:rPr>
            </w:pPr>
            <w:r w:rsidRPr="008A7902">
              <w:rPr>
                <w:rFonts w:ascii="Times New Roman" w:hAnsi="Times New Roman" w:cs="Times New Roman"/>
                <w:sz w:val="20"/>
                <w:szCs w:val="20"/>
              </w:rPr>
              <w:t>MINEFI – Direction du Budget</w:t>
            </w:r>
          </w:p>
          <w:p w:rsidR="008A7902" w:rsidRPr="008A7902" w:rsidRDefault="008A7902" w:rsidP="008A7902">
            <w:pPr>
              <w:rPr>
                <w:rFonts w:ascii="Times New Roman" w:hAnsi="Times New Roman" w:cs="Times New Roman"/>
                <w:sz w:val="20"/>
                <w:szCs w:val="20"/>
              </w:rPr>
            </w:pPr>
            <w:r w:rsidRPr="008A7902">
              <w:rPr>
                <w:rFonts w:ascii="Times New Roman" w:hAnsi="Times New Roman" w:cs="Times New Roman"/>
                <w:sz w:val="20"/>
                <w:szCs w:val="20"/>
              </w:rPr>
              <w:t>MINEFI – DGFIP</w:t>
            </w:r>
          </w:p>
          <w:p w:rsidR="008A7902" w:rsidRDefault="008A7902" w:rsidP="008A7902">
            <w:pPr>
              <w:rPr>
                <w:rFonts w:ascii="Times New Roman" w:hAnsi="Times New Roman" w:cs="Times New Roman"/>
                <w:sz w:val="20"/>
                <w:szCs w:val="20"/>
              </w:rPr>
            </w:pPr>
            <w:r w:rsidRPr="008A7902">
              <w:rPr>
                <w:rFonts w:ascii="Times New Roman" w:hAnsi="Times New Roman" w:cs="Times New Roman"/>
                <w:sz w:val="20"/>
                <w:szCs w:val="20"/>
              </w:rPr>
              <w:t xml:space="preserve">Contrôleur budgétaire régional Ile de </w:t>
            </w:r>
            <w:r>
              <w:rPr>
                <w:rFonts w:ascii="Times New Roman" w:hAnsi="Times New Roman" w:cs="Times New Roman"/>
                <w:sz w:val="20"/>
                <w:szCs w:val="20"/>
              </w:rPr>
              <w:t>France</w:t>
            </w:r>
          </w:p>
          <w:p w:rsidR="008A7902" w:rsidRPr="00747D06" w:rsidRDefault="008A7902" w:rsidP="008A7902">
            <w:pPr>
              <w:rPr>
                <w:rFonts w:ascii="Times New Roman" w:hAnsi="Times New Roman" w:cs="Times New Roman"/>
                <w:sz w:val="20"/>
                <w:szCs w:val="20"/>
              </w:rPr>
            </w:pPr>
            <w:r w:rsidRPr="008A7902">
              <w:rPr>
                <w:rFonts w:ascii="Times New Roman" w:hAnsi="Times New Roman" w:cs="Times New Roman"/>
                <w:sz w:val="20"/>
                <w:szCs w:val="20"/>
              </w:rPr>
              <w:t>ESENESR – Responsable de la formation</w:t>
            </w:r>
          </w:p>
        </w:tc>
      </w:tr>
      <w:tr w:rsidR="000343AA" w:rsidRPr="009A16D0" w:rsidTr="002C3C51">
        <w:trPr>
          <w:trHeight w:val="370"/>
        </w:trPr>
        <w:tc>
          <w:tcPr>
            <w:tcW w:w="4361" w:type="dxa"/>
            <w:gridSpan w:val="4"/>
            <w:tcBorders>
              <w:bottom w:val="single" w:sz="4" w:space="0" w:color="auto"/>
            </w:tcBorders>
          </w:tcPr>
          <w:p w:rsidR="000343AA" w:rsidRDefault="000343AA" w:rsidP="006125B0">
            <w:pPr>
              <w:rPr>
                <w:rFonts w:ascii="Times New Roman" w:hAnsi="Times New Roman" w:cs="Times New Roman"/>
                <w:sz w:val="20"/>
                <w:szCs w:val="20"/>
              </w:rPr>
            </w:pPr>
            <w:r>
              <w:rPr>
                <w:rFonts w:ascii="Times New Roman" w:hAnsi="Times New Roman" w:cs="Times New Roman"/>
                <w:sz w:val="20"/>
                <w:szCs w:val="20"/>
                <w:u w:val="single"/>
              </w:rPr>
              <w:t>Participants</w:t>
            </w:r>
            <w:r w:rsidRPr="009A16D0">
              <w:rPr>
                <w:rFonts w:ascii="Times New Roman" w:hAnsi="Times New Roman" w:cs="Times New Roman"/>
                <w:sz w:val="20"/>
                <w:szCs w:val="20"/>
              </w:rPr>
              <w:t xml:space="preserve"> :</w:t>
            </w:r>
          </w:p>
        </w:tc>
        <w:tc>
          <w:tcPr>
            <w:tcW w:w="6237" w:type="dxa"/>
            <w:gridSpan w:val="3"/>
            <w:tcBorders>
              <w:bottom w:val="single" w:sz="4" w:space="0" w:color="auto"/>
            </w:tcBorders>
          </w:tcPr>
          <w:p w:rsidR="000343AA" w:rsidRPr="009A16D0" w:rsidRDefault="000343AA" w:rsidP="00960C39">
            <w:pPr>
              <w:rPr>
                <w:rFonts w:ascii="Times New Roman" w:hAnsi="Times New Roman" w:cs="Times New Roman"/>
                <w:sz w:val="20"/>
                <w:szCs w:val="20"/>
              </w:rPr>
            </w:pPr>
            <w:r>
              <w:rPr>
                <w:rFonts w:ascii="Times New Roman" w:hAnsi="Times New Roman" w:cs="Times New Roman"/>
                <w:sz w:val="20"/>
                <w:szCs w:val="20"/>
              </w:rPr>
              <w:t xml:space="preserve">Les </w:t>
            </w:r>
            <w:r w:rsidRPr="00E57508">
              <w:rPr>
                <w:rFonts w:ascii="Times New Roman" w:hAnsi="Times New Roman" w:cs="Times New Roman"/>
                <w:sz w:val="20"/>
                <w:szCs w:val="20"/>
              </w:rPr>
              <w:t>resp</w:t>
            </w:r>
            <w:r>
              <w:rPr>
                <w:rFonts w:ascii="Times New Roman" w:hAnsi="Times New Roman" w:cs="Times New Roman"/>
                <w:sz w:val="20"/>
                <w:szCs w:val="20"/>
              </w:rPr>
              <w:t xml:space="preserve">onsables du contrôle budgétaire </w:t>
            </w:r>
            <w:r w:rsidRPr="00E57508">
              <w:rPr>
                <w:rFonts w:ascii="Times New Roman" w:hAnsi="Times New Roman" w:cs="Times New Roman"/>
                <w:sz w:val="20"/>
                <w:szCs w:val="20"/>
              </w:rPr>
              <w:t>en Rectorats</w:t>
            </w:r>
          </w:p>
        </w:tc>
      </w:tr>
      <w:tr w:rsidR="00576C14" w:rsidRPr="009A16D0" w:rsidTr="00576C14">
        <w:trPr>
          <w:trHeight w:val="433"/>
        </w:trPr>
        <w:tc>
          <w:tcPr>
            <w:tcW w:w="8188" w:type="dxa"/>
            <w:gridSpan w:val="6"/>
            <w:shd w:val="clear" w:color="auto" w:fill="FFFF00"/>
            <w:vAlign w:val="center"/>
          </w:tcPr>
          <w:p w:rsidR="00576C14" w:rsidRPr="009A16D0" w:rsidRDefault="00576C14" w:rsidP="008A7902">
            <w:pPr>
              <w:jc w:val="center"/>
              <w:rPr>
                <w:rFonts w:ascii="Times New Roman" w:hAnsi="Times New Roman" w:cs="Times New Roman"/>
                <w:b/>
                <w:sz w:val="20"/>
                <w:szCs w:val="20"/>
              </w:rPr>
            </w:pPr>
            <w:r w:rsidRPr="009A16D0">
              <w:rPr>
                <w:rFonts w:ascii="Times New Roman" w:hAnsi="Times New Roman" w:cs="Times New Roman"/>
                <w:b/>
                <w:sz w:val="20"/>
                <w:szCs w:val="20"/>
              </w:rPr>
              <w:t>COMPTE RENDU</w:t>
            </w:r>
            <w:r>
              <w:rPr>
                <w:rFonts w:ascii="Times New Roman" w:hAnsi="Times New Roman" w:cs="Times New Roman"/>
                <w:b/>
                <w:sz w:val="20"/>
                <w:szCs w:val="20"/>
              </w:rPr>
              <w:t xml:space="preserve"> </w:t>
            </w:r>
            <w:r w:rsidR="008A7902">
              <w:rPr>
                <w:rFonts w:ascii="Times New Roman" w:hAnsi="Times New Roman" w:cs="Times New Roman"/>
                <w:b/>
                <w:sz w:val="20"/>
                <w:szCs w:val="20"/>
              </w:rPr>
              <w:t>DE LA FORMATION</w:t>
            </w:r>
          </w:p>
        </w:tc>
        <w:tc>
          <w:tcPr>
            <w:tcW w:w="2410" w:type="dxa"/>
            <w:shd w:val="clear" w:color="auto" w:fill="FFFF00"/>
            <w:vAlign w:val="center"/>
          </w:tcPr>
          <w:p w:rsidR="00576C14" w:rsidRPr="00576C14" w:rsidRDefault="00576C14" w:rsidP="00E57508">
            <w:pPr>
              <w:jc w:val="center"/>
              <w:rPr>
                <w:rFonts w:ascii="Times New Roman" w:hAnsi="Times New Roman" w:cs="Times New Roman"/>
                <w:b/>
                <w:i/>
                <w:sz w:val="18"/>
                <w:szCs w:val="20"/>
              </w:rPr>
            </w:pPr>
            <w:r w:rsidRPr="00576C14">
              <w:rPr>
                <w:rFonts w:ascii="Times New Roman" w:hAnsi="Times New Roman" w:cs="Times New Roman"/>
                <w:b/>
                <w:i/>
                <w:sz w:val="18"/>
                <w:szCs w:val="20"/>
              </w:rPr>
              <w:t>Rédacteur : N RIVIERE</w:t>
            </w:r>
            <w:r w:rsidR="00FA486F">
              <w:rPr>
                <w:rFonts w:ascii="Times New Roman" w:hAnsi="Times New Roman" w:cs="Times New Roman"/>
                <w:b/>
                <w:i/>
                <w:sz w:val="18"/>
                <w:szCs w:val="20"/>
              </w:rPr>
              <w:t xml:space="preserve"> –</w:t>
            </w:r>
            <w:r w:rsidR="00E57508">
              <w:rPr>
                <w:rFonts w:ascii="Times New Roman" w:hAnsi="Times New Roman" w:cs="Times New Roman"/>
                <w:b/>
                <w:i/>
                <w:sz w:val="18"/>
                <w:szCs w:val="20"/>
              </w:rPr>
              <w:t>01/06/2014</w:t>
            </w:r>
          </w:p>
        </w:tc>
      </w:tr>
      <w:tr w:rsidR="00327CE3" w:rsidRPr="00960C39" w:rsidTr="00375ACC">
        <w:trPr>
          <w:trHeight w:val="36"/>
        </w:trPr>
        <w:tc>
          <w:tcPr>
            <w:tcW w:w="10598" w:type="dxa"/>
            <w:gridSpan w:val="7"/>
            <w:shd w:val="clear" w:color="auto" w:fill="808080" w:themeFill="background1" w:themeFillShade="80"/>
          </w:tcPr>
          <w:p w:rsidR="00327CE3" w:rsidRPr="00960C39" w:rsidRDefault="00327CE3" w:rsidP="00960C39">
            <w:pPr>
              <w:rPr>
                <w:rFonts w:ascii="Times New Roman" w:hAnsi="Times New Roman" w:cs="Times New Roman"/>
                <w:sz w:val="2"/>
                <w:szCs w:val="20"/>
              </w:rPr>
            </w:pPr>
          </w:p>
        </w:tc>
      </w:tr>
      <w:tr w:rsidR="009515DE" w:rsidRPr="009A16D0" w:rsidTr="00375ACC">
        <w:trPr>
          <w:trHeight w:val="314"/>
        </w:trPr>
        <w:tc>
          <w:tcPr>
            <w:tcW w:w="10598" w:type="dxa"/>
            <w:gridSpan w:val="7"/>
            <w:tcBorders>
              <w:bottom w:val="nil"/>
            </w:tcBorders>
          </w:tcPr>
          <w:p w:rsidR="00743EC0" w:rsidRDefault="00743EC0" w:rsidP="00743EC0">
            <w:pPr>
              <w:rPr>
                <w:rFonts w:ascii="Times New Roman" w:hAnsi="Times New Roman" w:cs="Times New Roman"/>
                <w:b/>
                <w:sz w:val="24"/>
                <w:szCs w:val="20"/>
              </w:rPr>
            </w:pPr>
          </w:p>
          <w:p w:rsidR="00743EC0" w:rsidRDefault="00743EC0" w:rsidP="00743EC0">
            <w:pPr>
              <w:rPr>
                <w:rFonts w:ascii="Times New Roman" w:hAnsi="Times New Roman" w:cs="Times New Roman"/>
                <w:b/>
                <w:sz w:val="24"/>
                <w:szCs w:val="20"/>
              </w:rPr>
            </w:pPr>
            <w:r w:rsidRPr="00743EC0">
              <w:rPr>
                <w:rFonts w:ascii="Times New Roman" w:hAnsi="Times New Roman" w:cs="Times New Roman"/>
                <w:b/>
                <w:sz w:val="24"/>
                <w:szCs w:val="20"/>
              </w:rPr>
              <w:t>Introduction</w:t>
            </w:r>
          </w:p>
          <w:p w:rsidR="00743EC0" w:rsidRPr="00743EC0" w:rsidRDefault="00743EC0" w:rsidP="00743EC0">
            <w:pPr>
              <w:rPr>
                <w:rFonts w:ascii="Times New Roman" w:hAnsi="Times New Roman" w:cs="Times New Roman"/>
                <w:b/>
                <w:sz w:val="24"/>
                <w:szCs w:val="20"/>
              </w:rPr>
            </w:pPr>
          </w:p>
          <w:p w:rsidR="00743EC0" w:rsidRDefault="00ED349E" w:rsidP="00743EC0">
            <w:pPr>
              <w:rPr>
                <w:rFonts w:ascii="Times New Roman" w:hAnsi="Times New Roman" w:cs="Times New Roman"/>
                <w:sz w:val="20"/>
                <w:szCs w:val="20"/>
              </w:rPr>
            </w:pPr>
            <w:r>
              <w:rPr>
                <w:rFonts w:ascii="Times New Roman" w:hAnsi="Times New Roman" w:cs="Times New Roman"/>
                <w:sz w:val="20"/>
                <w:szCs w:val="20"/>
              </w:rPr>
              <w:t xml:space="preserve">      </w:t>
            </w:r>
            <w:r w:rsidR="00743EC0" w:rsidRPr="00743EC0">
              <w:rPr>
                <w:rFonts w:ascii="Times New Roman" w:hAnsi="Times New Roman" w:cs="Times New Roman"/>
                <w:sz w:val="20"/>
                <w:szCs w:val="20"/>
              </w:rPr>
              <w:t xml:space="preserve">La réforme GBCP, issue du décret du 7 novembre 2012, s'appliquera aux opérateurs de l'enseignement supérieur et de la recherche </w:t>
            </w:r>
            <w:r w:rsidR="00743EC0" w:rsidRPr="005270E3">
              <w:rPr>
                <w:rFonts w:ascii="Times New Roman" w:hAnsi="Times New Roman" w:cs="Times New Roman"/>
                <w:sz w:val="20"/>
                <w:szCs w:val="20"/>
                <w:u w:val="single"/>
              </w:rPr>
              <w:t>au 1er janvier 2016</w:t>
            </w:r>
            <w:r w:rsidR="00743EC0" w:rsidRPr="00743EC0">
              <w:rPr>
                <w:rFonts w:ascii="Times New Roman" w:hAnsi="Times New Roman" w:cs="Times New Roman"/>
                <w:sz w:val="20"/>
                <w:szCs w:val="20"/>
              </w:rPr>
              <w:t>. Elle participe à la mise en place d'une comptabilité-miroir entre l'Etat et les opérateurs et définit aussi une nouvelle articulation entre les différentes comptabilités, de l'ordonnateur et du comptable.</w:t>
            </w:r>
          </w:p>
          <w:p w:rsidR="00743EC0" w:rsidRPr="00743EC0" w:rsidRDefault="00743EC0" w:rsidP="00743EC0">
            <w:pPr>
              <w:rPr>
                <w:rFonts w:ascii="Times New Roman" w:hAnsi="Times New Roman" w:cs="Times New Roman"/>
                <w:sz w:val="20"/>
                <w:szCs w:val="20"/>
              </w:rPr>
            </w:pPr>
          </w:p>
          <w:p w:rsidR="00743EC0" w:rsidRPr="00743EC0" w:rsidRDefault="00ED349E" w:rsidP="00743EC0">
            <w:pPr>
              <w:rPr>
                <w:rFonts w:ascii="Times New Roman" w:hAnsi="Times New Roman" w:cs="Times New Roman"/>
                <w:sz w:val="20"/>
                <w:szCs w:val="20"/>
              </w:rPr>
            </w:pPr>
            <w:r>
              <w:rPr>
                <w:rFonts w:ascii="Times New Roman" w:hAnsi="Times New Roman" w:cs="Times New Roman"/>
                <w:sz w:val="20"/>
                <w:szCs w:val="20"/>
              </w:rPr>
              <w:t xml:space="preserve">      </w:t>
            </w:r>
            <w:r w:rsidR="00743EC0" w:rsidRPr="00743EC0">
              <w:rPr>
                <w:rFonts w:ascii="Times New Roman" w:hAnsi="Times New Roman" w:cs="Times New Roman"/>
                <w:sz w:val="20"/>
                <w:szCs w:val="20"/>
              </w:rPr>
              <w:t xml:space="preserve">Pour les établissements, la réforme </w:t>
            </w:r>
            <w:r w:rsidR="00743EC0" w:rsidRPr="005270E3">
              <w:rPr>
                <w:rFonts w:ascii="Times New Roman" w:hAnsi="Times New Roman" w:cs="Times New Roman"/>
                <w:sz w:val="20"/>
                <w:szCs w:val="20"/>
                <w:u w:val="single"/>
              </w:rPr>
              <w:t>modifie profondément</w:t>
            </w:r>
            <w:r w:rsidR="00743EC0" w:rsidRPr="00743EC0">
              <w:rPr>
                <w:rFonts w:ascii="Times New Roman" w:hAnsi="Times New Roman" w:cs="Times New Roman"/>
                <w:sz w:val="20"/>
                <w:szCs w:val="20"/>
              </w:rPr>
              <w:t xml:space="preserve"> leur cadre budgétaire et comptable. En effet, elle impacte à la fois les processus de budgétisation, les cadres de présentation budgétaire et les modes de comptabilisation des opérations financières.</w:t>
            </w:r>
          </w:p>
          <w:p w:rsidR="00743EC0" w:rsidRPr="005270E3" w:rsidRDefault="00743EC0" w:rsidP="00743EC0">
            <w:pPr>
              <w:rPr>
                <w:rFonts w:ascii="Times New Roman" w:hAnsi="Times New Roman" w:cs="Times New Roman"/>
                <w:sz w:val="20"/>
                <w:szCs w:val="20"/>
              </w:rPr>
            </w:pPr>
            <w:r w:rsidRPr="00743EC0">
              <w:rPr>
                <w:rFonts w:ascii="Times New Roman" w:hAnsi="Times New Roman" w:cs="Times New Roman"/>
                <w:sz w:val="20"/>
                <w:szCs w:val="20"/>
              </w:rPr>
              <w:t xml:space="preserve">Ces évolutions généreront aussi </w:t>
            </w:r>
            <w:r w:rsidRPr="005270E3">
              <w:rPr>
                <w:rFonts w:ascii="Times New Roman" w:hAnsi="Times New Roman" w:cs="Times New Roman"/>
                <w:sz w:val="20"/>
                <w:szCs w:val="20"/>
                <w:u w:val="single"/>
              </w:rPr>
              <w:t>un impact direct sur le dialogue de gestion entre les opérateurs et les responsables du contrôle budgétaire en Rectorats</w:t>
            </w:r>
            <w:r w:rsidRPr="005270E3">
              <w:rPr>
                <w:rFonts w:ascii="Times New Roman" w:hAnsi="Times New Roman" w:cs="Times New Roman"/>
                <w:sz w:val="20"/>
                <w:szCs w:val="20"/>
              </w:rPr>
              <w:t xml:space="preserve">. </w:t>
            </w:r>
          </w:p>
          <w:p w:rsidR="00743EC0" w:rsidRPr="00743EC0" w:rsidRDefault="00743EC0" w:rsidP="00743EC0">
            <w:pPr>
              <w:rPr>
                <w:rFonts w:ascii="Times New Roman" w:hAnsi="Times New Roman" w:cs="Times New Roman"/>
                <w:sz w:val="20"/>
                <w:szCs w:val="20"/>
              </w:rPr>
            </w:pPr>
            <w:bookmarkStart w:id="0" w:name="_GoBack"/>
            <w:bookmarkEnd w:id="0"/>
          </w:p>
          <w:p w:rsidR="00D925BA" w:rsidRDefault="00ED349E" w:rsidP="00743EC0">
            <w:pPr>
              <w:rPr>
                <w:rFonts w:ascii="Times New Roman" w:hAnsi="Times New Roman" w:cs="Times New Roman"/>
                <w:sz w:val="20"/>
                <w:szCs w:val="20"/>
              </w:rPr>
            </w:pPr>
            <w:r>
              <w:rPr>
                <w:rFonts w:ascii="Times New Roman" w:hAnsi="Times New Roman" w:cs="Times New Roman"/>
                <w:sz w:val="20"/>
                <w:szCs w:val="20"/>
              </w:rPr>
              <w:t xml:space="preserve">      </w:t>
            </w:r>
            <w:r w:rsidR="00743EC0" w:rsidRPr="00743EC0">
              <w:rPr>
                <w:rFonts w:ascii="Times New Roman" w:hAnsi="Times New Roman" w:cs="Times New Roman"/>
                <w:sz w:val="20"/>
                <w:szCs w:val="20"/>
              </w:rPr>
              <w:t xml:space="preserve">La formation initiée par la DAF, en partenariat avec l'ESENESR, avait principalement pour objectifs de </w:t>
            </w:r>
            <w:r w:rsidR="00743EC0" w:rsidRPr="00C32084">
              <w:rPr>
                <w:rFonts w:ascii="Times New Roman" w:hAnsi="Times New Roman" w:cs="Times New Roman"/>
                <w:sz w:val="20"/>
                <w:szCs w:val="20"/>
                <w:u w:val="single"/>
              </w:rPr>
              <w:t>préciser le cadre d'application de la réforme</w:t>
            </w:r>
            <w:r w:rsidR="00743EC0" w:rsidRPr="00743EC0">
              <w:rPr>
                <w:rFonts w:ascii="Times New Roman" w:hAnsi="Times New Roman" w:cs="Times New Roman"/>
                <w:sz w:val="20"/>
                <w:szCs w:val="20"/>
              </w:rPr>
              <w:t xml:space="preserve"> et de </w:t>
            </w:r>
            <w:r w:rsidR="00743EC0" w:rsidRPr="00C32084">
              <w:rPr>
                <w:rFonts w:ascii="Times New Roman" w:hAnsi="Times New Roman" w:cs="Times New Roman"/>
                <w:sz w:val="20"/>
                <w:szCs w:val="20"/>
                <w:u w:val="single"/>
              </w:rPr>
              <w:t>développer une culture partagée</w:t>
            </w:r>
            <w:r w:rsidR="00743EC0" w:rsidRPr="00743EC0">
              <w:rPr>
                <w:rFonts w:ascii="Times New Roman" w:hAnsi="Times New Roman" w:cs="Times New Roman"/>
                <w:sz w:val="20"/>
                <w:szCs w:val="20"/>
              </w:rPr>
              <w:t xml:space="preserve"> entre les acteurs qui vont la mettre en </w:t>
            </w:r>
            <w:r w:rsidR="00D925BA" w:rsidRPr="00743EC0">
              <w:rPr>
                <w:rFonts w:ascii="Times New Roman" w:hAnsi="Times New Roman" w:cs="Times New Roman"/>
                <w:sz w:val="20"/>
                <w:szCs w:val="20"/>
              </w:rPr>
              <w:t>œuvre</w:t>
            </w:r>
            <w:r w:rsidR="00743EC0" w:rsidRPr="00743EC0">
              <w:rPr>
                <w:rFonts w:ascii="Times New Roman" w:hAnsi="Times New Roman" w:cs="Times New Roman"/>
                <w:sz w:val="20"/>
                <w:szCs w:val="20"/>
              </w:rPr>
              <w:t>.</w:t>
            </w:r>
          </w:p>
          <w:p w:rsidR="00743EC0" w:rsidRPr="00743EC0" w:rsidRDefault="00743EC0" w:rsidP="00743EC0">
            <w:pPr>
              <w:rPr>
                <w:rFonts w:ascii="Times New Roman" w:hAnsi="Times New Roman" w:cs="Times New Roman"/>
                <w:sz w:val="20"/>
                <w:szCs w:val="20"/>
              </w:rPr>
            </w:pPr>
            <w:r w:rsidRPr="00743EC0">
              <w:rPr>
                <w:rFonts w:ascii="Times New Roman" w:hAnsi="Times New Roman" w:cs="Times New Roman"/>
                <w:sz w:val="20"/>
                <w:szCs w:val="20"/>
              </w:rPr>
              <w:t xml:space="preserve"> </w:t>
            </w:r>
          </w:p>
          <w:p w:rsidR="009515DE" w:rsidRDefault="00ED349E" w:rsidP="00743EC0">
            <w:pPr>
              <w:rPr>
                <w:rFonts w:ascii="Times New Roman" w:hAnsi="Times New Roman" w:cs="Times New Roman"/>
                <w:sz w:val="20"/>
                <w:szCs w:val="20"/>
              </w:rPr>
            </w:pPr>
            <w:r>
              <w:rPr>
                <w:rFonts w:ascii="Times New Roman" w:hAnsi="Times New Roman" w:cs="Times New Roman"/>
                <w:sz w:val="20"/>
                <w:szCs w:val="20"/>
              </w:rPr>
              <w:t xml:space="preserve">      </w:t>
            </w:r>
            <w:r w:rsidR="00743EC0" w:rsidRPr="00743EC0">
              <w:rPr>
                <w:rFonts w:ascii="Times New Roman" w:hAnsi="Times New Roman" w:cs="Times New Roman"/>
                <w:sz w:val="20"/>
                <w:szCs w:val="20"/>
              </w:rPr>
              <w:t>D’autres séances de formation seront programmées avant la bascule des établissements en mode GBCP.</w:t>
            </w:r>
          </w:p>
        </w:tc>
      </w:tr>
      <w:tr w:rsidR="00D06FF1" w:rsidRPr="009A16D0" w:rsidTr="00743EC0">
        <w:trPr>
          <w:trHeight w:val="46"/>
        </w:trPr>
        <w:tc>
          <w:tcPr>
            <w:tcW w:w="959" w:type="dxa"/>
            <w:gridSpan w:val="2"/>
            <w:tcBorders>
              <w:top w:val="nil"/>
              <w:bottom w:val="single" w:sz="4" w:space="0" w:color="auto"/>
              <w:right w:val="nil"/>
            </w:tcBorders>
          </w:tcPr>
          <w:p w:rsidR="00D06FF1" w:rsidRDefault="00D06FF1" w:rsidP="00F66EFC">
            <w:pPr>
              <w:rPr>
                <w:rFonts w:ascii="Times New Roman" w:hAnsi="Times New Roman" w:cs="Times New Roman"/>
                <w:sz w:val="20"/>
                <w:szCs w:val="20"/>
              </w:rPr>
            </w:pPr>
          </w:p>
        </w:tc>
        <w:tc>
          <w:tcPr>
            <w:tcW w:w="9639" w:type="dxa"/>
            <w:gridSpan w:val="5"/>
            <w:tcBorders>
              <w:top w:val="nil"/>
              <w:left w:val="nil"/>
              <w:bottom w:val="single" w:sz="4" w:space="0" w:color="auto"/>
            </w:tcBorders>
          </w:tcPr>
          <w:p w:rsidR="00D859FB" w:rsidRDefault="00D859FB" w:rsidP="00DF2643">
            <w:pPr>
              <w:rPr>
                <w:rFonts w:ascii="Times New Roman" w:hAnsi="Times New Roman" w:cs="Times New Roman"/>
                <w:sz w:val="20"/>
                <w:szCs w:val="20"/>
              </w:rPr>
            </w:pPr>
          </w:p>
        </w:tc>
      </w:tr>
      <w:tr w:rsidR="00EC024E" w:rsidRPr="009A16D0" w:rsidTr="00375ACC">
        <w:trPr>
          <w:trHeight w:val="324"/>
        </w:trPr>
        <w:tc>
          <w:tcPr>
            <w:tcW w:w="10598" w:type="dxa"/>
            <w:gridSpan w:val="7"/>
            <w:tcBorders>
              <w:top w:val="single" w:sz="4" w:space="0" w:color="auto"/>
              <w:bottom w:val="nil"/>
            </w:tcBorders>
          </w:tcPr>
          <w:p w:rsidR="00743EC0" w:rsidRDefault="00743EC0" w:rsidP="00743EC0">
            <w:pPr>
              <w:rPr>
                <w:rFonts w:ascii="Times New Roman" w:hAnsi="Times New Roman" w:cs="Times New Roman"/>
                <w:sz w:val="20"/>
                <w:szCs w:val="20"/>
              </w:rPr>
            </w:pPr>
          </w:p>
          <w:p w:rsidR="00743EC0" w:rsidRPr="00743EC0" w:rsidRDefault="00743EC0" w:rsidP="00743EC0">
            <w:pPr>
              <w:rPr>
                <w:rFonts w:ascii="Times New Roman" w:hAnsi="Times New Roman" w:cs="Times New Roman"/>
                <w:b/>
                <w:sz w:val="24"/>
                <w:szCs w:val="20"/>
              </w:rPr>
            </w:pPr>
            <w:r w:rsidRPr="00743EC0">
              <w:rPr>
                <w:rFonts w:ascii="Times New Roman" w:hAnsi="Times New Roman" w:cs="Times New Roman"/>
                <w:b/>
                <w:sz w:val="24"/>
                <w:szCs w:val="20"/>
              </w:rPr>
              <w:t xml:space="preserve">Les enjeux de la réforme GBCP pour les établissements </w:t>
            </w:r>
          </w:p>
          <w:p w:rsidR="00743EC0" w:rsidRPr="00743EC0" w:rsidRDefault="00743EC0" w:rsidP="00743EC0">
            <w:pPr>
              <w:rPr>
                <w:rFonts w:ascii="Times New Roman" w:hAnsi="Times New Roman" w:cs="Times New Roman"/>
                <w:sz w:val="20"/>
                <w:szCs w:val="20"/>
              </w:rPr>
            </w:pPr>
          </w:p>
          <w:p w:rsidR="00EC024E" w:rsidRDefault="00ED349E" w:rsidP="00743EC0">
            <w:pPr>
              <w:rPr>
                <w:rFonts w:ascii="Times New Roman" w:hAnsi="Times New Roman" w:cs="Times New Roman"/>
                <w:sz w:val="20"/>
                <w:szCs w:val="20"/>
              </w:rPr>
            </w:pPr>
            <w:r>
              <w:rPr>
                <w:rFonts w:ascii="Times New Roman" w:hAnsi="Times New Roman" w:cs="Times New Roman"/>
                <w:sz w:val="20"/>
                <w:szCs w:val="20"/>
              </w:rPr>
              <w:t xml:space="preserve">      </w:t>
            </w:r>
            <w:r w:rsidR="00743EC0" w:rsidRPr="00743EC0">
              <w:rPr>
                <w:rFonts w:ascii="Times New Roman" w:hAnsi="Times New Roman" w:cs="Times New Roman"/>
                <w:sz w:val="20"/>
                <w:szCs w:val="20"/>
              </w:rPr>
              <w:t xml:space="preserve">Jusqu’à présent la comptabilité budgétaire et la comptabilité générale s’appuyaient toutes les deux sur le principe des droits constatés, générant ainsi une redondance d’information. La GBCP redéfinit grandement le cadre budgétaire </w:t>
            </w:r>
            <w:r w:rsidR="00743EC0" w:rsidRPr="005270E3">
              <w:rPr>
                <w:rFonts w:ascii="Times New Roman" w:hAnsi="Times New Roman" w:cs="Times New Roman"/>
                <w:sz w:val="20"/>
                <w:szCs w:val="20"/>
                <w:u w:val="single"/>
              </w:rPr>
              <w:t>en s’inspirant de celui de la LOLF</w:t>
            </w:r>
            <w:r w:rsidR="00743EC0" w:rsidRPr="00743EC0">
              <w:rPr>
                <w:rFonts w:ascii="Times New Roman" w:hAnsi="Times New Roman" w:cs="Times New Roman"/>
                <w:sz w:val="20"/>
                <w:szCs w:val="20"/>
              </w:rPr>
              <w:t xml:space="preserve"> pour aboutir à une complémentarité entre les comptabilités qui offrent chacune des informations différentes mais cohérentes.</w:t>
            </w:r>
          </w:p>
          <w:p w:rsidR="00743EC0" w:rsidRDefault="00743EC0" w:rsidP="00743EC0">
            <w:pPr>
              <w:rPr>
                <w:rFonts w:ascii="Times New Roman" w:hAnsi="Times New Roman" w:cs="Times New Roman"/>
                <w:sz w:val="20"/>
                <w:szCs w:val="20"/>
              </w:rPr>
            </w:pPr>
          </w:p>
          <w:p w:rsidR="00743EC0" w:rsidRDefault="00743EC0" w:rsidP="00743EC0">
            <w:pPr>
              <w:pStyle w:val="Paragraphedeliste"/>
              <w:numPr>
                <w:ilvl w:val="0"/>
                <w:numId w:val="18"/>
              </w:numPr>
              <w:rPr>
                <w:rFonts w:ascii="Times New Roman" w:hAnsi="Times New Roman" w:cs="Times New Roman"/>
                <w:sz w:val="20"/>
                <w:szCs w:val="20"/>
              </w:rPr>
            </w:pPr>
            <w:r w:rsidRPr="00743EC0">
              <w:rPr>
                <w:rFonts w:ascii="Times New Roman" w:hAnsi="Times New Roman" w:cs="Times New Roman"/>
                <w:sz w:val="20"/>
                <w:szCs w:val="20"/>
              </w:rPr>
              <w:t xml:space="preserve">La comptabilité budgétaire </w:t>
            </w:r>
            <w:r w:rsidRPr="005270E3">
              <w:rPr>
                <w:rFonts w:ascii="Times New Roman" w:hAnsi="Times New Roman" w:cs="Times New Roman"/>
                <w:sz w:val="20"/>
                <w:szCs w:val="20"/>
                <w:u w:val="single"/>
              </w:rPr>
              <w:t>suivie en AE/CP</w:t>
            </w:r>
            <w:r w:rsidRPr="00743EC0">
              <w:rPr>
                <w:rFonts w:ascii="Times New Roman" w:hAnsi="Times New Roman" w:cs="Times New Roman"/>
                <w:sz w:val="20"/>
                <w:szCs w:val="20"/>
              </w:rPr>
              <w:t xml:space="preserve">  permettra aux décideurs d’un établissement de distinguer les moyens à mettre en œuvre pour assurer les projets et activités, et de prévoir les ressources nécessaires à la réalisation </w:t>
            </w:r>
          </w:p>
          <w:p w:rsidR="00743EC0" w:rsidRPr="00743EC0" w:rsidRDefault="00743EC0" w:rsidP="00743EC0">
            <w:pPr>
              <w:rPr>
                <w:rFonts w:ascii="Times New Roman" w:hAnsi="Times New Roman" w:cs="Times New Roman"/>
                <w:sz w:val="20"/>
                <w:szCs w:val="20"/>
              </w:rPr>
            </w:pPr>
          </w:p>
          <w:p w:rsidR="00743EC0" w:rsidRDefault="00743EC0" w:rsidP="00743EC0">
            <w:pPr>
              <w:pStyle w:val="Paragraphedeliste"/>
              <w:numPr>
                <w:ilvl w:val="0"/>
                <w:numId w:val="18"/>
              </w:numPr>
              <w:rPr>
                <w:rFonts w:ascii="Times New Roman" w:hAnsi="Times New Roman" w:cs="Times New Roman"/>
                <w:sz w:val="20"/>
                <w:szCs w:val="20"/>
              </w:rPr>
            </w:pPr>
            <w:r w:rsidRPr="00743EC0">
              <w:rPr>
                <w:rFonts w:ascii="Times New Roman" w:hAnsi="Times New Roman" w:cs="Times New Roman"/>
                <w:sz w:val="20"/>
                <w:szCs w:val="20"/>
              </w:rPr>
              <w:t>La comptabilité générale « infra-annuelle » en droits constatés permettra de déterminer la situation patrimoniale (bilan) et le résultat (compte de résultat) de l’activité d’un établissement.</w:t>
            </w:r>
          </w:p>
          <w:p w:rsidR="00521411" w:rsidRDefault="00521411" w:rsidP="00521411">
            <w:pPr>
              <w:rPr>
                <w:rFonts w:ascii="Times New Roman" w:hAnsi="Times New Roman" w:cs="Times New Roman"/>
                <w:sz w:val="20"/>
                <w:szCs w:val="20"/>
              </w:rPr>
            </w:pPr>
          </w:p>
          <w:p w:rsidR="00521411" w:rsidRDefault="00ED349E" w:rsidP="00521411">
            <w:pPr>
              <w:rPr>
                <w:rFonts w:ascii="Times New Roman" w:hAnsi="Times New Roman" w:cs="Times New Roman"/>
                <w:sz w:val="20"/>
                <w:szCs w:val="20"/>
              </w:rPr>
            </w:pPr>
            <w:r>
              <w:rPr>
                <w:rFonts w:ascii="Times New Roman" w:hAnsi="Times New Roman" w:cs="Times New Roman"/>
                <w:sz w:val="20"/>
                <w:szCs w:val="20"/>
              </w:rPr>
              <w:t xml:space="preserve">      </w:t>
            </w:r>
            <w:r w:rsidR="00521411" w:rsidRPr="00521411">
              <w:rPr>
                <w:rFonts w:ascii="Times New Roman" w:hAnsi="Times New Roman" w:cs="Times New Roman"/>
                <w:sz w:val="20"/>
                <w:szCs w:val="20"/>
              </w:rPr>
              <w:t xml:space="preserve">Les AE et les CP constituent les nouveaux supports de la </w:t>
            </w:r>
            <w:proofErr w:type="spellStart"/>
            <w:r w:rsidR="00521411" w:rsidRPr="00521411">
              <w:rPr>
                <w:rFonts w:ascii="Times New Roman" w:hAnsi="Times New Roman" w:cs="Times New Roman"/>
                <w:sz w:val="20"/>
                <w:szCs w:val="20"/>
              </w:rPr>
              <w:t>limitativité</w:t>
            </w:r>
            <w:proofErr w:type="spellEnd"/>
            <w:r w:rsidR="00521411" w:rsidRPr="00521411">
              <w:rPr>
                <w:rFonts w:ascii="Times New Roman" w:hAnsi="Times New Roman" w:cs="Times New Roman"/>
                <w:sz w:val="20"/>
                <w:szCs w:val="20"/>
              </w:rPr>
              <w:t xml:space="preserve"> annuelle des</w:t>
            </w:r>
            <w:r w:rsidR="00521411">
              <w:rPr>
                <w:rFonts w:ascii="Times New Roman" w:hAnsi="Times New Roman" w:cs="Times New Roman"/>
                <w:sz w:val="20"/>
                <w:szCs w:val="20"/>
              </w:rPr>
              <w:t xml:space="preserve"> crédits (pour les enveloppes «</w:t>
            </w:r>
            <w:r w:rsidR="00521411" w:rsidRPr="00521411">
              <w:rPr>
                <w:rFonts w:ascii="Times New Roman" w:hAnsi="Times New Roman" w:cs="Times New Roman"/>
                <w:sz w:val="20"/>
                <w:szCs w:val="20"/>
              </w:rPr>
              <w:t>fonctionnement</w:t>
            </w:r>
            <w:r w:rsidR="00521411">
              <w:rPr>
                <w:rFonts w:ascii="Times New Roman" w:hAnsi="Times New Roman" w:cs="Times New Roman"/>
                <w:sz w:val="20"/>
                <w:szCs w:val="20"/>
              </w:rPr>
              <w:t>», «investissement», et «</w:t>
            </w:r>
            <w:r w:rsidR="00521411" w:rsidRPr="00521411">
              <w:rPr>
                <w:rFonts w:ascii="Times New Roman" w:hAnsi="Times New Roman" w:cs="Times New Roman"/>
                <w:sz w:val="20"/>
                <w:szCs w:val="20"/>
              </w:rPr>
              <w:t xml:space="preserve">dépenses de personnel»).  L’introduction notamment des autorisations d’engagement permettra pour les décideurs d’avoir une meilleure visibilité et </w:t>
            </w:r>
            <w:r w:rsidR="00C63066" w:rsidRPr="00521411">
              <w:rPr>
                <w:rFonts w:ascii="Times New Roman" w:hAnsi="Times New Roman" w:cs="Times New Roman"/>
                <w:sz w:val="20"/>
                <w:szCs w:val="20"/>
              </w:rPr>
              <w:t>une meilleure maîtrise des engagements à impact pluriannuel (opérations pluriannuelles, contrat</w:t>
            </w:r>
            <w:r w:rsidR="00142123">
              <w:rPr>
                <w:rFonts w:ascii="Times New Roman" w:hAnsi="Times New Roman" w:cs="Times New Roman"/>
                <w:sz w:val="20"/>
                <w:szCs w:val="20"/>
              </w:rPr>
              <w:t>s</w:t>
            </w:r>
            <w:r w:rsidR="00C63066" w:rsidRPr="00521411">
              <w:rPr>
                <w:rFonts w:ascii="Times New Roman" w:hAnsi="Times New Roman" w:cs="Times New Roman"/>
                <w:sz w:val="20"/>
                <w:szCs w:val="20"/>
              </w:rPr>
              <w:t xml:space="preserve"> de recherche</w:t>
            </w:r>
            <w:r w:rsidR="00521411">
              <w:rPr>
                <w:rFonts w:ascii="Times New Roman" w:hAnsi="Times New Roman" w:cs="Times New Roman"/>
                <w:sz w:val="20"/>
                <w:szCs w:val="20"/>
              </w:rPr>
              <w:t xml:space="preserve"> …)</w:t>
            </w:r>
            <w:r w:rsidR="00521411" w:rsidRPr="00521411">
              <w:rPr>
                <w:rFonts w:ascii="Times New Roman" w:hAnsi="Times New Roman" w:cs="Times New Roman"/>
                <w:sz w:val="20"/>
                <w:szCs w:val="20"/>
              </w:rPr>
              <w:t>.</w:t>
            </w:r>
          </w:p>
          <w:p w:rsidR="00521411" w:rsidRPr="00521411" w:rsidRDefault="00ED349E" w:rsidP="00521411">
            <w:pPr>
              <w:rPr>
                <w:rFonts w:ascii="Times New Roman" w:hAnsi="Times New Roman" w:cs="Times New Roman"/>
                <w:sz w:val="20"/>
                <w:szCs w:val="20"/>
              </w:rPr>
            </w:pPr>
            <w:r>
              <w:rPr>
                <w:rFonts w:ascii="Times New Roman" w:hAnsi="Times New Roman" w:cs="Times New Roman"/>
                <w:i/>
                <w:sz w:val="20"/>
                <w:szCs w:val="20"/>
              </w:rPr>
              <w:t xml:space="preserve">      </w:t>
            </w:r>
            <w:r w:rsidR="00521411" w:rsidRPr="00521411">
              <w:rPr>
                <w:rFonts w:ascii="Times New Roman" w:hAnsi="Times New Roman" w:cs="Times New Roman"/>
                <w:i/>
                <w:sz w:val="20"/>
                <w:szCs w:val="20"/>
              </w:rPr>
              <w:t xml:space="preserve">Illustrations par madame </w:t>
            </w:r>
            <w:proofErr w:type="spellStart"/>
            <w:r w:rsidR="00521411" w:rsidRPr="00521411">
              <w:rPr>
                <w:rFonts w:ascii="Times New Roman" w:hAnsi="Times New Roman" w:cs="Times New Roman"/>
                <w:i/>
                <w:sz w:val="20"/>
                <w:szCs w:val="20"/>
              </w:rPr>
              <w:t>Davoine</w:t>
            </w:r>
            <w:proofErr w:type="spellEnd"/>
            <w:r w:rsidR="00521411" w:rsidRPr="00521411">
              <w:rPr>
                <w:rFonts w:ascii="Times New Roman" w:hAnsi="Times New Roman" w:cs="Times New Roman"/>
                <w:i/>
                <w:sz w:val="20"/>
                <w:szCs w:val="20"/>
              </w:rPr>
              <w:t xml:space="preserve"> de l’ENS Lyon pour les contrats de recherche et par madame Foulon du rectorat de Toulouse pour les opérations pluriannuelles</w:t>
            </w:r>
            <w:r w:rsidR="00521411" w:rsidRPr="00521411">
              <w:rPr>
                <w:rFonts w:ascii="Times New Roman" w:hAnsi="Times New Roman" w:cs="Times New Roman"/>
                <w:sz w:val="20"/>
                <w:szCs w:val="20"/>
              </w:rPr>
              <w:t>.</w:t>
            </w:r>
          </w:p>
        </w:tc>
      </w:tr>
      <w:tr w:rsidR="0033595C" w:rsidRPr="009A16D0" w:rsidTr="00375ACC">
        <w:trPr>
          <w:trHeight w:val="308"/>
        </w:trPr>
        <w:tc>
          <w:tcPr>
            <w:tcW w:w="534" w:type="dxa"/>
            <w:tcBorders>
              <w:top w:val="nil"/>
              <w:bottom w:val="nil"/>
              <w:right w:val="nil"/>
            </w:tcBorders>
          </w:tcPr>
          <w:p w:rsidR="0033595C" w:rsidRDefault="0033595C" w:rsidP="00F66EFC">
            <w:pPr>
              <w:rPr>
                <w:rFonts w:ascii="Times New Roman" w:hAnsi="Times New Roman" w:cs="Times New Roman"/>
                <w:sz w:val="20"/>
                <w:szCs w:val="20"/>
              </w:rPr>
            </w:pPr>
          </w:p>
        </w:tc>
        <w:tc>
          <w:tcPr>
            <w:tcW w:w="425" w:type="dxa"/>
            <w:tcBorders>
              <w:top w:val="nil"/>
              <w:left w:val="nil"/>
              <w:bottom w:val="nil"/>
              <w:right w:val="nil"/>
            </w:tcBorders>
          </w:tcPr>
          <w:p w:rsidR="0033595C" w:rsidRPr="00A26052" w:rsidRDefault="0033595C" w:rsidP="00A26052">
            <w:pPr>
              <w:rPr>
                <w:rFonts w:ascii="Times New Roman" w:hAnsi="Times New Roman" w:cs="Times New Roman"/>
                <w:sz w:val="20"/>
                <w:szCs w:val="20"/>
              </w:rPr>
            </w:pPr>
          </w:p>
        </w:tc>
        <w:tc>
          <w:tcPr>
            <w:tcW w:w="9639" w:type="dxa"/>
            <w:gridSpan w:val="5"/>
            <w:tcBorders>
              <w:top w:val="nil"/>
              <w:left w:val="nil"/>
              <w:bottom w:val="nil"/>
            </w:tcBorders>
          </w:tcPr>
          <w:p w:rsidR="00521411" w:rsidRPr="00C001C2" w:rsidRDefault="00521411" w:rsidP="00C001C2">
            <w:pPr>
              <w:rPr>
                <w:rFonts w:ascii="Times New Roman" w:hAnsi="Times New Roman" w:cs="Times New Roman"/>
                <w:sz w:val="20"/>
                <w:szCs w:val="20"/>
              </w:rPr>
            </w:pPr>
          </w:p>
        </w:tc>
      </w:tr>
      <w:tr w:rsidR="008B7CB5" w:rsidRPr="009A16D0" w:rsidTr="00B97F97">
        <w:trPr>
          <w:trHeight w:val="538"/>
        </w:trPr>
        <w:tc>
          <w:tcPr>
            <w:tcW w:w="10598" w:type="dxa"/>
            <w:gridSpan w:val="7"/>
            <w:tcBorders>
              <w:top w:val="single" w:sz="4" w:space="0" w:color="auto"/>
              <w:left w:val="single" w:sz="4" w:space="0" w:color="auto"/>
              <w:bottom w:val="nil"/>
            </w:tcBorders>
          </w:tcPr>
          <w:p w:rsidR="00E153D9" w:rsidRDefault="00E153D9" w:rsidP="0017596C">
            <w:pPr>
              <w:rPr>
                <w:rFonts w:ascii="Times New Roman" w:hAnsi="Times New Roman" w:cs="Times New Roman"/>
                <w:sz w:val="20"/>
                <w:szCs w:val="20"/>
              </w:rPr>
            </w:pPr>
          </w:p>
          <w:p w:rsidR="0017596C" w:rsidRPr="0017596C" w:rsidRDefault="00ED349E" w:rsidP="0017596C">
            <w:pPr>
              <w:rPr>
                <w:rFonts w:ascii="Times New Roman" w:hAnsi="Times New Roman" w:cs="Times New Roman"/>
                <w:sz w:val="20"/>
                <w:szCs w:val="20"/>
              </w:rPr>
            </w:pPr>
            <w:r>
              <w:rPr>
                <w:rFonts w:ascii="Times New Roman" w:hAnsi="Times New Roman" w:cs="Times New Roman"/>
                <w:sz w:val="20"/>
                <w:szCs w:val="20"/>
              </w:rPr>
              <w:t xml:space="preserve">      </w:t>
            </w:r>
            <w:r w:rsidR="0017596C" w:rsidRPr="0017596C">
              <w:rPr>
                <w:rFonts w:ascii="Times New Roman" w:hAnsi="Times New Roman" w:cs="Times New Roman"/>
                <w:sz w:val="20"/>
                <w:szCs w:val="20"/>
              </w:rPr>
              <w:t xml:space="preserve">L’équilibre du budget sera apprécié sur les conditions actuelles d’équilibre (compte de résultat + tableau de financement) mais aussi à partir de l’évolution prévisionnelle de la trésorerie de l’établissement (via l’élaboration </w:t>
            </w:r>
            <w:r w:rsidR="0017596C" w:rsidRPr="005270E3">
              <w:rPr>
                <w:rFonts w:ascii="Times New Roman" w:hAnsi="Times New Roman" w:cs="Times New Roman"/>
                <w:sz w:val="20"/>
                <w:szCs w:val="20"/>
                <w:u w:val="single"/>
              </w:rPr>
              <w:t xml:space="preserve">d’un </w:t>
            </w:r>
            <w:r w:rsidR="0017596C" w:rsidRPr="005270E3">
              <w:rPr>
                <w:rFonts w:ascii="Times New Roman" w:hAnsi="Times New Roman" w:cs="Times New Roman"/>
                <w:b/>
                <w:sz w:val="20"/>
                <w:szCs w:val="20"/>
                <w:u w:val="single"/>
              </w:rPr>
              <w:t>plan de trésorerie</w:t>
            </w:r>
            <w:r w:rsidR="0017596C" w:rsidRPr="0017596C">
              <w:rPr>
                <w:rFonts w:ascii="Times New Roman" w:hAnsi="Times New Roman" w:cs="Times New Roman"/>
                <w:sz w:val="20"/>
                <w:szCs w:val="20"/>
              </w:rPr>
              <w:t xml:space="preserve"> </w:t>
            </w:r>
          </w:p>
          <w:p w:rsidR="0017596C" w:rsidRPr="0017596C" w:rsidRDefault="00ED349E" w:rsidP="0017596C">
            <w:pPr>
              <w:rPr>
                <w:rFonts w:ascii="Times New Roman" w:hAnsi="Times New Roman" w:cs="Times New Roman"/>
                <w:i/>
                <w:sz w:val="20"/>
                <w:szCs w:val="20"/>
              </w:rPr>
            </w:pPr>
            <w:r>
              <w:rPr>
                <w:rFonts w:ascii="Times New Roman" w:hAnsi="Times New Roman" w:cs="Times New Roman"/>
                <w:i/>
                <w:sz w:val="20"/>
                <w:szCs w:val="20"/>
              </w:rPr>
              <w:t xml:space="preserve">      </w:t>
            </w:r>
            <w:r w:rsidR="0017596C" w:rsidRPr="0017596C">
              <w:rPr>
                <w:rFonts w:ascii="Times New Roman" w:hAnsi="Times New Roman" w:cs="Times New Roman"/>
                <w:i/>
                <w:sz w:val="20"/>
                <w:szCs w:val="20"/>
              </w:rPr>
              <w:t xml:space="preserve">Retour d’expérience intéressant sur les difficultés financières de l’université de Versailles- Saint Quentin (Mme </w:t>
            </w:r>
            <w:proofErr w:type="spellStart"/>
            <w:r w:rsidR="0017596C" w:rsidRPr="0017596C">
              <w:rPr>
                <w:rFonts w:ascii="Times New Roman" w:hAnsi="Times New Roman" w:cs="Times New Roman"/>
                <w:i/>
                <w:sz w:val="20"/>
                <w:szCs w:val="20"/>
              </w:rPr>
              <w:t>Darnaudguilhem</w:t>
            </w:r>
            <w:proofErr w:type="spellEnd"/>
            <w:r w:rsidR="0017596C" w:rsidRPr="0017596C">
              <w:rPr>
                <w:rFonts w:ascii="Times New Roman" w:hAnsi="Times New Roman" w:cs="Times New Roman"/>
                <w:i/>
                <w:sz w:val="20"/>
                <w:szCs w:val="20"/>
              </w:rPr>
              <w:t xml:space="preserve">  et Mr Haddad  contrôleur budgétaire d’Ile de France). </w:t>
            </w:r>
          </w:p>
          <w:p w:rsidR="0017596C" w:rsidRPr="0017596C" w:rsidRDefault="0017596C" w:rsidP="0017596C">
            <w:pPr>
              <w:rPr>
                <w:rFonts w:ascii="Times New Roman" w:hAnsi="Times New Roman" w:cs="Times New Roman"/>
                <w:sz w:val="20"/>
                <w:szCs w:val="20"/>
              </w:rPr>
            </w:pPr>
          </w:p>
          <w:p w:rsidR="00B97F97" w:rsidRPr="008B7CB5" w:rsidRDefault="00ED349E" w:rsidP="0017596C">
            <w:pPr>
              <w:rPr>
                <w:rFonts w:ascii="Times New Roman" w:hAnsi="Times New Roman" w:cs="Times New Roman"/>
                <w:sz w:val="20"/>
                <w:szCs w:val="20"/>
              </w:rPr>
            </w:pPr>
            <w:r>
              <w:rPr>
                <w:rFonts w:ascii="Times New Roman" w:hAnsi="Times New Roman" w:cs="Times New Roman"/>
                <w:sz w:val="20"/>
                <w:szCs w:val="20"/>
              </w:rPr>
              <w:t xml:space="preserve">      </w:t>
            </w:r>
            <w:r w:rsidR="0017596C" w:rsidRPr="0017596C">
              <w:rPr>
                <w:rFonts w:ascii="Times New Roman" w:hAnsi="Times New Roman" w:cs="Times New Roman"/>
                <w:sz w:val="20"/>
                <w:szCs w:val="20"/>
              </w:rPr>
              <w:t xml:space="preserve">La notion de « </w:t>
            </w:r>
            <w:r w:rsidR="0017596C" w:rsidRPr="005270E3">
              <w:rPr>
                <w:rFonts w:ascii="Times New Roman" w:hAnsi="Times New Roman" w:cs="Times New Roman"/>
                <w:sz w:val="20"/>
                <w:szCs w:val="20"/>
                <w:u w:val="single"/>
              </w:rPr>
              <w:t>recettes fléchées</w:t>
            </w:r>
            <w:r w:rsidR="0017596C" w:rsidRPr="0017596C">
              <w:rPr>
                <w:rFonts w:ascii="Times New Roman" w:hAnsi="Times New Roman" w:cs="Times New Roman"/>
                <w:sz w:val="20"/>
                <w:szCs w:val="20"/>
              </w:rPr>
              <w:t xml:space="preserve"> » apparaît dans la trésorerie. Le fléchage d’opérations devient un outil d’analyse essentiel pour comprendre ce qui la compose. Toutefois, le principe de fongibilité prévaut : l’identification d’une part de  crédits fléchés ne fait pas obstacle à une gestion globale de la trésorerie de l’établissement. La liste des opérations éligibles au fléchage </w:t>
            </w:r>
            <w:r w:rsidR="0017596C" w:rsidRPr="00E153D9">
              <w:rPr>
                <w:rFonts w:ascii="Times New Roman" w:hAnsi="Times New Roman" w:cs="Times New Roman"/>
                <w:sz w:val="20"/>
                <w:szCs w:val="20"/>
                <w:u w:val="single"/>
              </w:rPr>
              <w:t>est fixée par chaque organisme, en fonction de son activité</w:t>
            </w:r>
            <w:r w:rsidR="0017596C" w:rsidRPr="0017596C">
              <w:rPr>
                <w:rFonts w:ascii="Times New Roman" w:hAnsi="Times New Roman" w:cs="Times New Roman"/>
                <w:sz w:val="20"/>
                <w:szCs w:val="20"/>
              </w:rPr>
              <w:t>.</w:t>
            </w:r>
          </w:p>
        </w:tc>
      </w:tr>
      <w:tr w:rsidR="003D0710" w:rsidRPr="009A16D0" w:rsidTr="00B97F97">
        <w:trPr>
          <w:trHeight w:val="314"/>
        </w:trPr>
        <w:tc>
          <w:tcPr>
            <w:tcW w:w="534" w:type="dxa"/>
            <w:tcBorders>
              <w:top w:val="nil"/>
              <w:left w:val="single" w:sz="4" w:space="0" w:color="auto"/>
              <w:bottom w:val="single" w:sz="4" w:space="0" w:color="auto"/>
              <w:right w:val="nil"/>
            </w:tcBorders>
          </w:tcPr>
          <w:p w:rsidR="003D0710" w:rsidRDefault="003D0710" w:rsidP="008B7CB5">
            <w:pPr>
              <w:rPr>
                <w:rFonts w:ascii="Times New Roman" w:hAnsi="Times New Roman" w:cs="Times New Roman"/>
                <w:b/>
                <w:sz w:val="20"/>
                <w:szCs w:val="20"/>
                <w:u w:val="single"/>
              </w:rPr>
            </w:pPr>
          </w:p>
        </w:tc>
        <w:tc>
          <w:tcPr>
            <w:tcW w:w="10064" w:type="dxa"/>
            <w:gridSpan w:val="6"/>
            <w:tcBorders>
              <w:top w:val="nil"/>
              <w:left w:val="nil"/>
              <w:bottom w:val="single" w:sz="4" w:space="0" w:color="auto"/>
            </w:tcBorders>
          </w:tcPr>
          <w:p w:rsidR="009018F5" w:rsidRPr="003D0710" w:rsidRDefault="009018F5" w:rsidP="00B97F97">
            <w:pPr>
              <w:rPr>
                <w:rFonts w:ascii="Times New Roman" w:hAnsi="Times New Roman" w:cs="Times New Roman"/>
                <w:sz w:val="20"/>
                <w:szCs w:val="20"/>
              </w:rPr>
            </w:pPr>
          </w:p>
        </w:tc>
      </w:tr>
      <w:tr w:rsidR="00700883" w:rsidRPr="009A16D0" w:rsidTr="00656545">
        <w:trPr>
          <w:trHeight w:val="314"/>
        </w:trPr>
        <w:tc>
          <w:tcPr>
            <w:tcW w:w="10598" w:type="dxa"/>
            <w:gridSpan w:val="7"/>
            <w:tcBorders>
              <w:top w:val="single" w:sz="4" w:space="0" w:color="auto"/>
              <w:left w:val="single" w:sz="4" w:space="0" w:color="auto"/>
              <w:bottom w:val="nil"/>
            </w:tcBorders>
          </w:tcPr>
          <w:p w:rsidR="004B3214" w:rsidRDefault="004B3214" w:rsidP="004B3214">
            <w:pPr>
              <w:rPr>
                <w:rFonts w:ascii="Times New Roman" w:hAnsi="Times New Roman" w:cs="Times New Roman"/>
                <w:b/>
                <w:sz w:val="20"/>
                <w:szCs w:val="20"/>
                <w:u w:val="single"/>
              </w:rPr>
            </w:pPr>
          </w:p>
          <w:p w:rsidR="004B3214" w:rsidRPr="004B3214" w:rsidRDefault="004B3214" w:rsidP="004B3214">
            <w:pPr>
              <w:rPr>
                <w:rFonts w:ascii="Times New Roman" w:hAnsi="Times New Roman" w:cs="Times New Roman"/>
                <w:b/>
                <w:sz w:val="24"/>
                <w:szCs w:val="20"/>
              </w:rPr>
            </w:pPr>
            <w:r w:rsidRPr="004B3214">
              <w:rPr>
                <w:rFonts w:ascii="Times New Roman" w:hAnsi="Times New Roman" w:cs="Times New Roman"/>
                <w:b/>
                <w:sz w:val="24"/>
                <w:szCs w:val="20"/>
              </w:rPr>
              <w:t xml:space="preserve">Les impacts organisationnels de la réforme GBCP pour les établissements </w:t>
            </w:r>
          </w:p>
          <w:p w:rsidR="004B3214" w:rsidRPr="004B3214" w:rsidRDefault="004B3214" w:rsidP="004B3214">
            <w:pPr>
              <w:rPr>
                <w:rFonts w:ascii="Times New Roman" w:hAnsi="Times New Roman" w:cs="Times New Roman"/>
                <w:b/>
                <w:sz w:val="20"/>
                <w:szCs w:val="20"/>
                <w:u w:val="single"/>
              </w:rPr>
            </w:pPr>
          </w:p>
          <w:p w:rsidR="004B3214" w:rsidRDefault="00ED349E" w:rsidP="004B3214">
            <w:pPr>
              <w:rPr>
                <w:rFonts w:ascii="Times New Roman" w:hAnsi="Times New Roman" w:cs="Times New Roman"/>
                <w:sz w:val="20"/>
                <w:szCs w:val="20"/>
              </w:rPr>
            </w:pPr>
            <w:r>
              <w:rPr>
                <w:rFonts w:ascii="Times New Roman" w:hAnsi="Times New Roman" w:cs="Times New Roman"/>
                <w:sz w:val="20"/>
                <w:szCs w:val="20"/>
              </w:rPr>
              <w:t xml:space="preserve">      </w:t>
            </w:r>
            <w:r w:rsidR="004B3214" w:rsidRPr="004B3214">
              <w:rPr>
                <w:rFonts w:ascii="Times New Roman" w:hAnsi="Times New Roman" w:cs="Times New Roman"/>
                <w:sz w:val="20"/>
                <w:szCs w:val="20"/>
              </w:rPr>
              <w:t xml:space="preserve">La GBCP dépasse le cadre de la réorganisation financière car elle </w:t>
            </w:r>
            <w:r w:rsidR="004B3214" w:rsidRPr="0077111D">
              <w:rPr>
                <w:rFonts w:ascii="Times New Roman" w:hAnsi="Times New Roman" w:cs="Times New Roman"/>
                <w:sz w:val="20"/>
                <w:szCs w:val="20"/>
                <w:u w:val="single"/>
              </w:rPr>
              <w:t>impacte également l’organisation des établissements</w:t>
            </w:r>
            <w:r w:rsidR="004B3214" w:rsidRPr="004B3214">
              <w:rPr>
                <w:rFonts w:ascii="Times New Roman" w:hAnsi="Times New Roman" w:cs="Times New Roman"/>
                <w:sz w:val="20"/>
                <w:szCs w:val="20"/>
              </w:rPr>
              <w:t>.</w:t>
            </w:r>
          </w:p>
          <w:p w:rsidR="004B3214" w:rsidRPr="004B3214" w:rsidRDefault="004B3214" w:rsidP="004B3214">
            <w:pPr>
              <w:rPr>
                <w:rFonts w:ascii="Times New Roman" w:hAnsi="Times New Roman" w:cs="Times New Roman"/>
                <w:sz w:val="20"/>
                <w:szCs w:val="20"/>
              </w:rPr>
            </w:pPr>
            <w:r w:rsidRPr="004B3214">
              <w:rPr>
                <w:rFonts w:ascii="Times New Roman" w:hAnsi="Times New Roman" w:cs="Times New Roman"/>
                <w:sz w:val="20"/>
                <w:szCs w:val="20"/>
              </w:rPr>
              <w:t xml:space="preserve"> </w:t>
            </w:r>
          </w:p>
          <w:p w:rsidR="004B3214" w:rsidRDefault="004B3214" w:rsidP="004B3214">
            <w:pPr>
              <w:pStyle w:val="Paragraphedeliste"/>
              <w:numPr>
                <w:ilvl w:val="0"/>
                <w:numId w:val="19"/>
              </w:numPr>
              <w:rPr>
                <w:rFonts w:ascii="Times New Roman" w:hAnsi="Times New Roman" w:cs="Times New Roman"/>
                <w:sz w:val="20"/>
                <w:szCs w:val="20"/>
              </w:rPr>
            </w:pPr>
            <w:r w:rsidRPr="004B3214">
              <w:rPr>
                <w:rFonts w:ascii="Times New Roman" w:hAnsi="Times New Roman" w:cs="Times New Roman"/>
                <w:sz w:val="20"/>
                <w:szCs w:val="20"/>
              </w:rPr>
              <w:t>Elle emporte une redéfinition du rôle des acteurs (la comptabilité budgétaire sera tenue conjointement par l’ordonnateur et le comptable</w:t>
            </w:r>
            <w:r>
              <w:rPr>
                <w:rFonts w:ascii="Times New Roman" w:hAnsi="Times New Roman" w:cs="Times New Roman"/>
                <w:sz w:val="20"/>
                <w:szCs w:val="20"/>
              </w:rPr>
              <w:t xml:space="preserve">) </w:t>
            </w:r>
          </w:p>
          <w:p w:rsidR="004B3214" w:rsidRDefault="004B3214" w:rsidP="004B3214">
            <w:pPr>
              <w:pStyle w:val="Paragraphedeliste"/>
              <w:numPr>
                <w:ilvl w:val="0"/>
                <w:numId w:val="19"/>
              </w:numPr>
              <w:rPr>
                <w:rFonts w:ascii="Times New Roman" w:hAnsi="Times New Roman" w:cs="Times New Roman"/>
                <w:sz w:val="20"/>
                <w:szCs w:val="20"/>
              </w:rPr>
            </w:pPr>
            <w:r>
              <w:rPr>
                <w:rFonts w:ascii="Times New Roman" w:hAnsi="Times New Roman" w:cs="Times New Roman"/>
                <w:sz w:val="20"/>
                <w:szCs w:val="20"/>
              </w:rPr>
              <w:t xml:space="preserve">Elle </w:t>
            </w:r>
            <w:r w:rsidRPr="004B3214">
              <w:rPr>
                <w:rFonts w:ascii="Times New Roman" w:hAnsi="Times New Roman" w:cs="Times New Roman"/>
                <w:sz w:val="20"/>
                <w:szCs w:val="20"/>
              </w:rPr>
              <w:t>renforce la professionnalisation des acteurs en matière budgétaire et financière et impose de mettre en œuvre un dialogue de gestion efficace avec les acteurs de terrain (recensement des besoins et des ressources envisagées)</w:t>
            </w:r>
          </w:p>
          <w:p w:rsidR="004B3214" w:rsidRDefault="004B3214" w:rsidP="004B3214">
            <w:pPr>
              <w:pStyle w:val="Paragraphedeliste"/>
              <w:numPr>
                <w:ilvl w:val="0"/>
                <w:numId w:val="19"/>
              </w:numPr>
              <w:rPr>
                <w:rFonts w:ascii="Times New Roman" w:hAnsi="Times New Roman" w:cs="Times New Roman"/>
                <w:sz w:val="20"/>
                <w:szCs w:val="20"/>
              </w:rPr>
            </w:pPr>
            <w:r>
              <w:rPr>
                <w:rFonts w:ascii="Times New Roman" w:hAnsi="Times New Roman" w:cs="Times New Roman"/>
                <w:sz w:val="20"/>
                <w:szCs w:val="20"/>
              </w:rPr>
              <w:t>E</w:t>
            </w:r>
            <w:r w:rsidRPr="004B3214">
              <w:rPr>
                <w:rFonts w:ascii="Times New Roman" w:hAnsi="Times New Roman" w:cs="Times New Roman"/>
                <w:sz w:val="20"/>
                <w:szCs w:val="20"/>
              </w:rPr>
              <w:t>lle invite comme pour les crédits « Etat » via Chorus, à mettre en place des outils/dispositifs destinés à moderniser la gestion (service facturier,</w:t>
            </w:r>
            <w:r w:rsidR="006F3E11">
              <w:rPr>
                <w:rFonts w:ascii="Times New Roman" w:hAnsi="Times New Roman" w:cs="Times New Roman"/>
                <w:sz w:val="20"/>
                <w:szCs w:val="20"/>
              </w:rPr>
              <w:t xml:space="preserve"> plateformes financières,</w:t>
            </w:r>
            <w:r w:rsidRPr="004B3214">
              <w:rPr>
                <w:rFonts w:ascii="Times New Roman" w:hAnsi="Times New Roman" w:cs="Times New Roman"/>
                <w:sz w:val="20"/>
                <w:szCs w:val="20"/>
              </w:rPr>
              <w:t xml:space="preserve"> la dématérialisation des pièces</w:t>
            </w:r>
            <w:r w:rsidR="006F3E11">
              <w:rPr>
                <w:rFonts w:ascii="Times New Roman" w:hAnsi="Times New Roman" w:cs="Times New Roman"/>
                <w:sz w:val="20"/>
                <w:szCs w:val="20"/>
              </w:rPr>
              <w:t xml:space="preserve"> …)</w:t>
            </w:r>
          </w:p>
          <w:p w:rsidR="004B3214" w:rsidRDefault="004B3214" w:rsidP="004B3214">
            <w:pPr>
              <w:pStyle w:val="Paragraphedeliste"/>
              <w:numPr>
                <w:ilvl w:val="0"/>
                <w:numId w:val="19"/>
              </w:numPr>
              <w:rPr>
                <w:rFonts w:ascii="Times New Roman" w:hAnsi="Times New Roman" w:cs="Times New Roman"/>
                <w:sz w:val="20"/>
                <w:szCs w:val="20"/>
              </w:rPr>
            </w:pPr>
            <w:r>
              <w:rPr>
                <w:rFonts w:ascii="Times New Roman" w:hAnsi="Times New Roman" w:cs="Times New Roman"/>
                <w:sz w:val="20"/>
                <w:szCs w:val="20"/>
              </w:rPr>
              <w:t>E</w:t>
            </w:r>
            <w:r w:rsidRPr="004B3214">
              <w:rPr>
                <w:rFonts w:ascii="Times New Roman" w:hAnsi="Times New Roman" w:cs="Times New Roman"/>
                <w:sz w:val="20"/>
                <w:szCs w:val="20"/>
              </w:rPr>
              <w:t xml:space="preserve">lle demande que soient </w:t>
            </w:r>
            <w:r w:rsidR="00176AD7" w:rsidRPr="004B3214">
              <w:rPr>
                <w:rFonts w:ascii="Times New Roman" w:hAnsi="Times New Roman" w:cs="Times New Roman"/>
                <w:sz w:val="20"/>
                <w:szCs w:val="20"/>
              </w:rPr>
              <w:t>développées</w:t>
            </w:r>
            <w:r w:rsidRPr="004B3214">
              <w:rPr>
                <w:rFonts w:ascii="Times New Roman" w:hAnsi="Times New Roman" w:cs="Times New Roman"/>
                <w:sz w:val="20"/>
                <w:szCs w:val="20"/>
              </w:rPr>
              <w:t xml:space="preserve"> les démarches de CIC/CIB  ainsi que l’audit interne</w:t>
            </w:r>
            <w:r>
              <w:rPr>
                <w:rFonts w:ascii="Times New Roman" w:hAnsi="Times New Roman" w:cs="Times New Roman"/>
                <w:sz w:val="20"/>
                <w:szCs w:val="20"/>
              </w:rPr>
              <w:t>.</w:t>
            </w:r>
          </w:p>
          <w:p w:rsidR="006A4A78" w:rsidRDefault="004B3214" w:rsidP="004B3214">
            <w:pPr>
              <w:pStyle w:val="Paragraphedeliste"/>
              <w:numPr>
                <w:ilvl w:val="0"/>
                <w:numId w:val="19"/>
              </w:numPr>
              <w:rPr>
                <w:rFonts w:ascii="Times New Roman" w:hAnsi="Times New Roman" w:cs="Times New Roman"/>
                <w:sz w:val="20"/>
                <w:szCs w:val="20"/>
              </w:rPr>
            </w:pPr>
            <w:r>
              <w:rPr>
                <w:rFonts w:ascii="Times New Roman" w:hAnsi="Times New Roman" w:cs="Times New Roman"/>
                <w:sz w:val="20"/>
                <w:szCs w:val="20"/>
              </w:rPr>
              <w:t>E</w:t>
            </w:r>
            <w:r w:rsidRPr="004B3214">
              <w:rPr>
                <w:rFonts w:ascii="Times New Roman" w:hAnsi="Times New Roman" w:cs="Times New Roman"/>
                <w:sz w:val="20"/>
                <w:szCs w:val="20"/>
              </w:rPr>
              <w:t>lle réduit également les d</w:t>
            </w:r>
            <w:r w:rsidR="006F3E11">
              <w:rPr>
                <w:rFonts w:ascii="Times New Roman" w:hAnsi="Times New Roman" w:cs="Times New Roman"/>
                <w:sz w:val="20"/>
                <w:szCs w:val="20"/>
              </w:rPr>
              <w:t>élais de production des comptes.</w:t>
            </w:r>
          </w:p>
          <w:p w:rsidR="0032561E" w:rsidRDefault="0032561E" w:rsidP="0032561E">
            <w:pPr>
              <w:rPr>
                <w:rFonts w:ascii="Times New Roman" w:hAnsi="Times New Roman" w:cs="Times New Roman"/>
                <w:sz w:val="20"/>
                <w:szCs w:val="20"/>
              </w:rPr>
            </w:pPr>
          </w:p>
          <w:p w:rsidR="0032561E" w:rsidRDefault="00ED349E" w:rsidP="0032561E">
            <w:pPr>
              <w:rPr>
                <w:rFonts w:ascii="Times New Roman" w:hAnsi="Times New Roman" w:cs="Times New Roman"/>
                <w:sz w:val="20"/>
                <w:szCs w:val="20"/>
              </w:rPr>
            </w:pPr>
            <w:r>
              <w:rPr>
                <w:rFonts w:ascii="Times New Roman" w:hAnsi="Times New Roman" w:cs="Times New Roman"/>
                <w:sz w:val="20"/>
                <w:szCs w:val="20"/>
              </w:rPr>
              <w:t xml:space="preserve">      </w:t>
            </w:r>
            <w:r w:rsidR="0032561E" w:rsidRPr="0032561E">
              <w:rPr>
                <w:rFonts w:ascii="Times New Roman" w:hAnsi="Times New Roman" w:cs="Times New Roman"/>
                <w:sz w:val="20"/>
                <w:szCs w:val="20"/>
              </w:rPr>
              <w:t xml:space="preserve">Ces dispositifs impliquent que les établissements doivent </w:t>
            </w:r>
            <w:r w:rsidR="0032561E" w:rsidRPr="00C63066">
              <w:rPr>
                <w:rFonts w:ascii="Times New Roman" w:hAnsi="Times New Roman" w:cs="Times New Roman"/>
                <w:sz w:val="20"/>
                <w:szCs w:val="20"/>
                <w:u w:val="single"/>
              </w:rPr>
              <w:t>s’interroger sur leur organisation interne</w:t>
            </w:r>
            <w:r w:rsidR="0032561E" w:rsidRPr="0032561E">
              <w:rPr>
                <w:rFonts w:ascii="Times New Roman" w:hAnsi="Times New Roman" w:cs="Times New Roman"/>
                <w:sz w:val="20"/>
                <w:szCs w:val="20"/>
              </w:rPr>
              <w:t xml:space="preserve"> et le cas échéant mettent en place </w:t>
            </w:r>
            <w:r w:rsidR="0032561E" w:rsidRPr="00C63066">
              <w:rPr>
                <w:rFonts w:ascii="Times New Roman" w:hAnsi="Times New Roman" w:cs="Times New Roman"/>
                <w:sz w:val="20"/>
                <w:szCs w:val="20"/>
                <w:u w:val="single"/>
              </w:rPr>
              <w:t>des actions de conduite du changement</w:t>
            </w:r>
            <w:r w:rsidR="0032561E" w:rsidRPr="0032561E">
              <w:rPr>
                <w:rFonts w:ascii="Times New Roman" w:hAnsi="Times New Roman" w:cs="Times New Roman"/>
                <w:sz w:val="20"/>
                <w:szCs w:val="20"/>
              </w:rPr>
              <w:t xml:space="preserve">. La réforme GBCP </w:t>
            </w:r>
            <w:r w:rsidR="0032561E" w:rsidRPr="0032561E">
              <w:rPr>
                <w:rFonts w:ascii="Times New Roman" w:hAnsi="Times New Roman" w:cs="Times New Roman"/>
                <w:sz w:val="20"/>
                <w:szCs w:val="20"/>
                <w:u w:val="single"/>
              </w:rPr>
              <w:t>concerne tout l’établissement</w:t>
            </w:r>
            <w:r w:rsidR="0032561E" w:rsidRPr="0032561E">
              <w:rPr>
                <w:rFonts w:ascii="Times New Roman" w:hAnsi="Times New Roman" w:cs="Times New Roman"/>
                <w:sz w:val="20"/>
                <w:szCs w:val="20"/>
              </w:rPr>
              <w:t>.</w:t>
            </w:r>
          </w:p>
          <w:p w:rsidR="00142123" w:rsidRPr="000B258A" w:rsidRDefault="00142123" w:rsidP="0032561E">
            <w:pPr>
              <w:rPr>
                <w:rFonts w:ascii="Times New Roman" w:hAnsi="Times New Roman" w:cs="Times New Roman"/>
                <w:b/>
                <w:sz w:val="20"/>
                <w:szCs w:val="20"/>
              </w:rPr>
            </w:pPr>
            <w:r w:rsidRPr="000B258A">
              <w:rPr>
                <w:rFonts w:ascii="Times New Roman" w:hAnsi="Times New Roman" w:cs="Times New Roman"/>
                <w:b/>
                <w:sz w:val="20"/>
                <w:szCs w:val="20"/>
              </w:rPr>
              <w:t>(</w:t>
            </w:r>
            <w:r w:rsidRPr="005270E3">
              <w:rPr>
                <w:rFonts w:ascii="Times New Roman" w:hAnsi="Times New Roman" w:cs="Times New Roman"/>
                <w:b/>
                <w:sz w:val="20"/>
                <w:szCs w:val="20"/>
                <w:u w:val="single"/>
              </w:rPr>
              <w:t>Question à poser par le rectorat au moment de la présentation du prochain budget</w:t>
            </w:r>
            <w:r w:rsidRPr="000B258A">
              <w:rPr>
                <w:rFonts w:ascii="Times New Roman" w:hAnsi="Times New Roman" w:cs="Times New Roman"/>
                <w:b/>
                <w:sz w:val="20"/>
                <w:szCs w:val="20"/>
              </w:rPr>
              <w:t>).</w:t>
            </w:r>
          </w:p>
          <w:p w:rsidR="006A4A78" w:rsidRPr="008135D9" w:rsidRDefault="006A4A78" w:rsidP="004A7D1A">
            <w:pPr>
              <w:rPr>
                <w:rFonts w:ascii="Times New Roman" w:hAnsi="Times New Roman" w:cs="Times New Roman"/>
                <w:sz w:val="20"/>
                <w:szCs w:val="20"/>
                <w:u w:val="single"/>
              </w:rPr>
            </w:pPr>
          </w:p>
        </w:tc>
      </w:tr>
      <w:tr w:rsidR="008E1FA1" w:rsidRPr="009A16D0" w:rsidTr="00E57508">
        <w:trPr>
          <w:trHeight w:val="314"/>
        </w:trPr>
        <w:tc>
          <w:tcPr>
            <w:tcW w:w="10598" w:type="dxa"/>
            <w:gridSpan w:val="7"/>
            <w:tcBorders>
              <w:top w:val="single" w:sz="4" w:space="0" w:color="auto"/>
              <w:left w:val="single" w:sz="4" w:space="0" w:color="auto"/>
              <w:bottom w:val="single" w:sz="4" w:space="0" w:color="auto"/>
            </w:tcBorders>
          </w:tcPr>
          <w:p w:rsidR="000B258A" w:rsidRDefault="000B258A" w:rsidP="000B258A">
            <w:pPr>
              <w:rPr>
                <w:rFonts w:ascii="Times New Roman" w:hAnsi="Times New Roman" w:cs="Times New Roman"/>
                <w:b/>
                <w:sz w:val="24"/>
                <w:szCs w:val="20"/>
              </w:rPr>
            </w:pPr>
          </w:p>
          <w:p w:rsidR="000B258A" w:rsidRDefault="000B258A" w:rsidP="000B258A">
            <w:pPr>
              <w:rPr>
                <w:rFonts w:ascii="Times New Roman" w:hAnsi="Times New Roman" w:cs="Times New Roman"/>
                <w:b/>
                <w:sz w:val="24"/>
                <w:szCs w:val="20"/>
              </w:rPr>
            </w:pPr>
            <w:r w:rsidRPr="000B258A">
              <w:rPr>
                <w:rFonts w:ascii="Times New Roman" w:hAnsi="Times New Roman" w:cs="Times New Roman"/>
                <w:b/>
                <w:sz w:val="24"/>
                <w:szCs w:val="20"/>
              </w:rPr>
              <w:t xml:space="preserve">Les nouvelles modalités du contrôle budgétaire </w:t>
            </w:r>
          </w:p>
          <w:p w:rsidR="000B258A" w:rsidRPr="000B258A" w:rsidRDefault="000B258A" w:rsidP="000B258A">
            <w:pPr>
              <w:rPr>
                <w:rFonts w:ascii="Times New Roman" w:hAnsi="Times New Roman" w:cs="Times New Roman"/>
                <w:b/>
                <w:sz w:val="24"/>
                <w:szCs w:val="20"/>
              </w:rPr>
            </w:pPr>
          </w:p>
          <w:p w:rsidR="000B258A" w:rsidRPr="000B258A" w:rsidRDefault="00ED349E" w:rsidP="000B258A">
            <w:pPr>
              <w:rPr>
                <w:rFonts w:ascii="Times New Roman" w:hAnsi="Times New Roman" w:cs="Times New Roman"/>
                <w:sz w:val="20"/>
                <w:szCs w:val="20"/>
              </w:rPr>
            </w:pPr>
            <w:r>
              <w:rPr>
                <w:rFonts w:ascii="Times New Roman" w:hAnsi="Times New Roman" w:cs="Times New Roman"/>
                <w:sz w:val="20"/>
                <w:szCs w:val="20"/>
              </w:rPr>
              <w:t xml:space="preserve">      </w:t>
            </w:r>
            <w:r w:rsidR="000B258A" w:rsidRPr="000B258A">
              <w:rPr>
                <w:rFonts w:ascii="Times New Roman" w:hAnsi="Times New Roman" w:cs="Times New Roman"/>
                <w:sz w:val="20"/>
                <w:szCs w:val="20"/>
              </w:rPr>
              <w:t>Les prérogatives du recteur en matière de contrôle budgétaire restent les mêmes, toutefois le dispositif d’accompagnement des établissements en situation de déficit va être modifié dans le cadre des nouvelles dispositions du code de l’éducation.</w:t>
            </w:r>
          </w:p>
          <w:p w:rsidR="000B258A" w:rsidRPr="000B258A" w:rsidRDefault="000B258A" w:rsidP="000B258A">
            <w:pPr>
              <w:rPr>
                <w:rFonts w:ascii="Times New Roman" w:hAnsi="Times New Roman" w:cs="Times New Roman"/>
                <w:sz w:val="20"/>
                <w:szCs w:val="20"/>
              </w:rPr>
            </w:pPr>
          </w:p>
          <w:p w:rsidR="000B258A" w:rsidRPr="000B258A" w:rsidRDefault="000B258A" w:rsidP="000B258A">
            <w:pPr>
              <w:rPr>
                <w:rFonts w:ascii="Times New Roman" w:hAnsi="Times New Roman" w:cs="Times New Roman"/>
                <w:sz w:val="20"/>
                <w:szCs w:val="20"/>
              </w:rPr>
            </w:pPr>
            <w:r w:rsidRPr="000B258A">
              <w:rPr>
                <w:rFonts w:ascii="Times New Roman" w:hAnsi="Times New Roman" w:cs="Times New Roman"/>
                <w:sz w:val="20"/>
                <w:szCs w:val="20"/>
                <w:u w:val="single"/>
              </w:rPr>
              <w:t>Le nouveau cadre réglementaire</w:t>
            </w:r>
            <w:r w:rsidRPr="000B258A">
              <w:rPr>
                <w:rFonts w:ascii="Times New Roman" w:hAnsi="Times New Roman" w:cs="Times New Roman"/>
                <w:sz w:val="20"/>
                <w:szCs w:val="20"/>
              </w:rPr>
              <w:t xml:space="preserve"> :</w:t>
            </w:r>
          </w:p>
          <w:p w:rsidR="000B258A" w:rsidRPr="00ED349E" w:rsidRDefault="000B258A" w:rsidP="00ED349E">
            <w:pPr>
              <w:pStyle w:val="Paragraphedeliste"/>
              <w:numPr>
                <w:ilvl w:val="0"/>
                <w:numId w:val="20"/>
              </w:numPr>
              <w:rPr>
                <w:rFonts w:ascii="Times New Roman" w:hAnsi="Times New Roman" w:cs="Times New Roman"/>
                <w:sz w:val="20"/>
                <w:szCs w:val="20"/>
              </w:rPr>
            </w:pPr>
            <w:r w:rsidRPr="00ED349E">
              <w:rPr>
                <w:rFonts w:ascii="Times New Roman" w:hAnsi="Times New Roman" w:cs="Times New Roman"/>
                <w:sz w:val="20"/>
                <w:szCs w:val="20"/>
              </w:rPr>
              <w:t>intervention du recteur dès l’exercice N (suite au constat de deux déficits N-2 et N-1)</w:t>
            </w:r>
          </w:p>
          <w:p w:rsidR="000B258A" w:rsidRPr="00ED349E" w:rsidRDefault="000B258A" w:rsidP="00ED349E">
            <w:pPr>
              <w:pStyle w:val="Paragraphedeliste"/>
              <w:numPr>
                <w:ilvl w:val="0"/>
                <w:numId w:val="20"/>
              </w:numPr>
              <w:rPr>
                <w:rFonts w:ascii="Times New Roman" w:hAnsi="Times New Roman" w:cs="Times New Roman"/>
                <w:sz w:val="20"/>
                <w:szCs w:val="20"/>
              </w:rPr>
            </w:pPr>
            <w:r w:rsidRPr="00ED349E">
              <w:rPr>
                <w:rFonts w:ascii="Times New Roman" w:hAnsi="Times New Roman" w:cs="Times New Roman"/>
                <w:sz w:val="20"/>
                <w:szCs w:val="20"/>
              </w:rPr>
              <w:t>perte de la compétence budgétaire du conseil d’administration prévue en ultime recours</w:t>
            </w:r>
          </w:p>
          <w:p w:rsidR="000B258A" w:rsidRPr="000B258A" w:rsidRDefault="000B258A" w:rsidP="000B258A">
            <w:pPr>
              <w:rPr>
                <w:rFonts w:ascii="Times New Roman" w:hAnsi="Times New Roman" w:cs="Times New Roman"/>
                <w:sz w:val="20"/>
                <w:szCs w:val="20"/>
              </w:rPr>
            </w:pPr>
          </w:p>
          <w:p w:rsidR="000B258A" w:rsidRPr="000B258A" w:rsidRDefault="000B258A" w:rsidP="000B258A">
            <w:pPr>
              <w:rPr>
                <w:rFonts w:ascii="Times New Roman" w:hAnsi="Times New Roman" w:cs="Times New Roman"/>
                <w:sz w:val="20"/>
                <w:szCs w:val="20"/>
              </w:rPr>
            </w:pPr>
            <w:r w:rsidRPr="000B258A">
              <w:rPr>
                <w:rFonts w:ascii="Times New Roman" w:hAnsi="Times New Roman" w:cs="Times New Roman"/>
                <w:sz w:val="20"/>
                <w:szCs w:val="20"/>
              </w:rPr>
              <w:t>Institutionnalisation d’un dispositif gradué d’accompagnement par le recteur</w:t>
            </w:r>
          </w:p>
          <w:p w:rsidR="000B258A" w:rsidRPr="000B258A" w:rsidRDefault="00ED349E" w:rsidP="000B258A">
            <w:pPr>
              <w:rPr>
                <w:rFonts w:ascii="Times New Roman" w:hAnsi="Times New Roman" w:cs="Times New Roman"/>
                <w:sz w:val="20"/>
                <w:szCs w:val="20"/>
              </w:rPr>
            </w:pPr>
            <w:r>
              <w:rPr>
                <w:rFonts w:ascii="Times New Roman" w:hAnsi="Times New Roman" w:cs="Times New Roman"/>
                <w:sz w:val="20"/>
                <w:szCs w:val="20"/>
              </w:rPr>
              <w:t xml:space="preserve">      </w:t>
            </w:r>
            <w:r w:rsidR="000B258A" w:rsidRPr="000B258A">
              <w:rPr>
                <w:rFonts w:ascii="Times New Roman" w:hAnsi="Times New Roman" w:cs="Times New Roman"/>
                <w:sz w:val="20"/>
                <w:szCs w:val="20"/>
              </w:rPr>
              <w:t>Dès le constat du 1er déficit, l’établissement est dans l’obligation de présenter au CA une délibération déterminant les conditions de retour à l’équilibre (soumise à l’avis du recteur)</w:t>
            </w:r>
          </w:p>
          <w:p w:rsidR="000B258A" w:rsidRPr="000B258A" w:rsidRDefault="00ED349E" w:rsidP="000B258A">
            <w:pPr>
              <w:rPr>
                <w:rFonts w:ascii="Times New Roman" w:hAnsi="Times New Roman" w:cs="Times New Roman"/>
                <w:sz w:val="20"/>
                <w:szCs w:val="20"/>
              </w:rPr>
            </w:pPr>
            <w:r>
              <w:rPr>
                <w:rFonts w:ascii="Times New Roman" w:hAnsi="Times New Roman" w:cs="Times New Roman"/>
                <w:sz w:val="20"/>
                <w:szCs w:val="20"/>
              </w:rPr>
              <w:t xml:space="preserve">      </w:t>
            </w:r>
            <w:r w:rsidR="000B258A" w:rsidRPr="000B258A">
              <w:rPr>
                <w:rFonts w:ascii="Times New Roman" w:hAnsi="Times New Roman" w:cs="Times New Roman"/>
                <w:sz w:val="20"/>
                <w:szCs w:val="20"/>
              </w:rPr>
              <w:t xml:space="preserve">A l’issue du constat du second déficit, tout projet est présenté au vote du CA avec un plan de rétablissement complet de l’équilibre financier avec avis conforme du recteur. A défaut de vote du CA conforme à l’avis, le recteur arrête le budget (le recteur </w:t>
            </w:r>
            <w:proofErr w:type="gramStart"/>
            <w:r w:rsidR="000B258A" w:rsidRPr="000B258A">
              <w:rPr>
                <w:rFonts w:ascii="Times New Roman" w:hAnsi="Times New Roman" w:cs="Times New Roman"/>
                <w:sz w:val="20"/>
                <w:szCs w:val="20"/>
              </w:rPr>
              <w:t>dispose</w:t>
            </w:r>
            <w:proofErr w:type="gramEnd"/>
            <w:r w:rsidR="000B258A" w:rsidRPr="000B258A">
              <w:rPr>
                <w:rFonts w:ascii="Times New Roman" w:hAnsi="Times New Roman" w:cs="Times New Roman"/>
                <w:sz w:val="20"/>
                <w:szCs w:val="20"/>
              </w:rPr>
              <w:t xml:space="preserve"> d’un pouvoir de substitution)</w:t>
            </w:r>
          </w:p>
          <w:p w:rsidR="008E1FA1" w:rsidRDefault="00ED349E" w:rsidP="000B258A">
            <w:pPr>
              <w:rPr>
                <w:rFonts w:ascii="Times New Roman" w:hAnsi="Times New Roman" w:cs="Times New Roman"/>
                <w:sz w:val="20"/>
                <w:szCs w:val="20"/>
              </w:rPr>
            </w:pPr>
            <w:r>
              <w:rPr>
                <w:rFonts w:ascii="Times New Roman" w:hAnsi="Times New Roman" w:cs="Times New Roman"/>
                <w:sz w:val="20"/>
                <w:szCs w:val="20"/>
              </w:rPr>
              <w:t xml:space="preserve">      </w:t>
            </w:r>
            <w:r w:rsidR="000B258A" w:rsidRPr="000B258A">
              <w:rPr>
                <w:rFonts w:ascii="Times New Roman" w:hAnsi="Times New Roman" w:cs="Times New Roman"/>
                <w:sz w:val="20"/>
                <w:szCs w:val="20"/>
              </w:rPr>
              <w:t>La sortie du dispositif d’accompagnement est décidée par le recteur au vu du premier compte de résultat excédentaire. Le recteur peut toutefois décider de prolonger la procédure d’accompagnement s’il estime  que la situation de l’établissement n’est pas durablement assainie. Il a la possibilité également, en cas de non-respect du plan, de soumettre le budget à son approbation.</w:t>
            </w:r>
          </w:p>
          <w:p w:rsidR="008E1FA1" w:rsidRPr="008E1FA1" w:rsidRDefault="008E1FA1" w:rsidP="00176AD7">
            <w:pPr>
              <w:rPr>
                <w:rFonts w:ascii="Times New Roman" w:hAnsi="Times New Roman" w:cs="Times New Roman"/>
                <w:sz w:val="20"/>
                <w:szCs w:val="20"/>
              </w:rPr>
            </w:pPr>
          </w:p>
        </w:tc>
      </w:tr>
      <w:tr w:rsidR="00F344E3" w:rsidRPr="009A16D0" w:rsidTr="00E57508">
        <w:trPr>
          <w:trHeight w:val="314"/>
        </w:trPr>
        <w:tc>
          <w:tcPr>
            <w:tcW w:w="10598" w:type="dxa"/>
            <w:gridSpan w:val="7"/>
            <w:tcBorders>
              <w:top w:val="single" w:sz="4" w:space="0" w:color="auto"/>
              <w:left w:val="single" w:sz="4" w:space="0" w:color="auto"/>
              <w:bottom w:val="single" w:sz="4" w:space="0" w:color="auto"/>
            </w:tcBorders>
          </w:tcPr>
          <w:p w:rsidR="00F344E3" w:rsidRDefault="00F344E3" w:rsidP="008E1FA1">
            <w:pPr>
              <w:rPr>
                <w:rFonts w:ascii="Times New Roman" w:hAnsi="Times New Roman" w:cs="Times New Roman"/>
                <w:sz w:val="20"/>
                <w:szCs w:val="20"/>
              </w:rPr>
            </w:pPr>
          </w:p>
          <w:p w:rsidR="00692FCE" w:rsidRDefault="00692FCE" w:rsidP="00692FCE">
            <w:pPr>
              <w:rPr>
                <w:rFonts w:ascii="Times New Roman" w:hAnsi="Times New Roman" w:cs="Times New Roman"/>
                <w:b/>
                <w:sz w:val="24"/>
                <w:szCs w:val="20"/>
              </w:rPr>
            </w:pPr>
            <w:r w:rsidRPr="00692FCE">
              <w:rPr>
                <w:rFonts w:ascii="Times New Roman" w:hAnsi="Times New Roman" w:cs="Times New Roman"/>
                <w:b/>
                <w:sz w:val="24"/>
                <w:szCs w:val="20"/>
              </w:rPr>
              <w:t>Conclusion</w:t>
            </w:r>
          </w:p>
          <w:p w:rsidR="00692FCE" w:rsidRPr="00692FCE" w:rsidRDefault="00692FCE" w:rsidP="00692FCE">
            <w:pPr>
              <w:rPr>
                <w:rFonts w:ascii="Times New Roman" w:hAnsi="Times New Roman" w:cs="Times New Roman"/>
                <w:b/>
                <w:sz w:val="24"/>
                <w:szCs w:val="20"/>
              </w:rPr>
            </w:pPr>
          </w:p>
          <w:p w:rsidR="00692FCE" w:rsidRPr="00692FCE" w:rsidRDefault="00ED349E" w:rsidP="00692FCE">
            <w:pPr>
              <w:rPr>
                <w:rFonts w:ascii="Times New Roman" w:hAnsi="Times New Roman" w:cs="Times New Roman"/>
                <w:sz w:val="20"/>
                <w:szCs w:val="20"/>
              </w:rPr>
            </w:pPr>
            <w:r>
              <w:rPr>
                <w:rFonts w:ascii="Times New Roman" w:hAnsi="Times New Roman" w:cs="Times New Roman"/>
                <w:sz w:val="20"/>
                <w:szCs w:val="20"/>
              </w:rPr>
              <w:t xml:space="preserve">      </w:t>
            </w:r>
            <w:r w:rsidR="00692FCE" w:rsidRPr="00692FCE">
              <w:rPr>
                <w:rFonts w:ascii="Times New Roman" w:hAnsi="Times New Roman" w:cs="Times New Roman"/>
                <w:sz w:val="20"/>
                <w:szCs w:val="20"/>
              </w:rPr>
              <w:t xml:space="preserve">La réforme GBCP renforce la dimension de pilotage  budgétaire pluriannuel et propose un ensemble d’outils d’aide à la décision. Elle nécessite donc en amont l’adaptation par </w:t>
            </w:r>
            <w:r w:rsidR="005270E3" w:rsidRPr="00692FCE">
              <w:rPr>
                <w:rFonts w:ascii="Times New Roman" w:hAnsi="Times New Roman" w:cs="Times New Roman"/>
                <w:sz w:val="20"/>
                <w:szCs w:val="20"/>
              </w:rPr>
              <w:t>l’</w:t>
            </w:r>
            <w:r w:rsidR="005270E3" w:rsidRPr="005270E3">
              <w:rPr>
                <w:rFonts w:ascii="Times New Roman" w:hAnsi="Times New Roman" w:cs="Times New Roman"/>
                <w:sz w:val="20"/>
                <w:szCs w:val="20"/>
              </w:rPr>
              <w:t>Agence de Mutualisation des Universités et Etablissements</w:t>
            </w:r>
            <w:r w:rsidR="005270E3">
              <w:rPr>
                <w:rFonts w:ascii="Times New Roman" w:hAnsi="Times New Roman" w:cs="Times New Roman"/>
                <w:sz w:val="20"/>
                <w:szCs w:val="20"/>
              </w:rPr>
              <w:t xml:space="preserve"> (AMUE)</w:t>
            </w:r>
            <w:r w:rsidR="005270E3" w:rsidRPr="005270E3">
              <w:rPr>
                <w:rFonts w:ascii="Times New Roman" w:hAnsi="Times New Roman" w:cs="Times New Roman"/>
                <w:sz w:val="20"/>
                <w:szCs w:val="20"/>
              </w:rPr>
              <w:t xml:space="preserve"> </w:t>
            </w:r>
            <w:r w:rsidR="00692FCE" w:rsidRPr="00692FCE">
              <w:rPr>
                <w:rFonts w:ascii="Times New Roman" w:hAnsi="Times New Roman" w:cs="Times New Roman"/>
                <w:sz w:val="20"/>
                <w:szCs w:val="20"/>
              </w:rPr>
              <w:t>des systèmes d’information financière (SIFAC/COCKTAIL) et une importante campagne de formation des personnels pour intégrer les nouveaux concepts proche de ceux de chorus.</w:t>
            </w:r>
          </w:p>
          <w:p w:rsidR="00692FCE" w:rsidRPr="00692FCE" w:rsidRDefault="00ED349E" w:rsidP="00692FCE">
            <w:pPr>
              <w:rPr>
                <w:rFonts w:ascii="Times New Roman" w:hAnsi="Times New Roman" w:cs="Times New Roman"/>
                <w:sz w:val="20"/>
                <w:szCs w:val="20"/>
              </w:rPr>
            </w:pPr>
            <w:r>
              <w:rPr>
                <w:rFonts w:ascii="Times New Roman" w:hAnsi="Times New Roman" w:cs="Times New Roman"/>
                <w:sz w:val="20"/>
                <w:szCs w:val="20"/>
              </w:rPr>
              <w:t xml:space="preserve">      </w:t>
            </w:r>
            <w:r w:rsidR="00692FCE" w:rsidRPr="00692FCE">
              <w:rPr>
                <w:rFonts w:ascii="Times New Roman" w:hAnsi="Times New Roman" w:cs="Times New Roman"/>
                <w:sz w:val="20"/>
                <w:szCs w:val="20"/>
              </w:rPr>
              <w:t xml:space="preserve">Elle se traduit également par un impact organisationnel important pour les établissements : rôle des acteurs, renforcement du contrôle et de l’audit internes et invite à mettre en place des dispositifs permettant de fluidifier les processus et de se concentrer sur le pilotage et les actes à enjeu (recettes fléchées). </w:t>
            </w:r>
          </w:p>
          <w:p w:rsidR="00692FCE" w:rsidRDefault="00ED349E" w:rsidP="00692FCE">
            <w:pPr>
              <w:rPr>
                <w:rFonts w:ascii="Times New Roman" w:hAnsi="Times New Roman" w:cs="Times New Roman"/>
                <w:sz w:val="20"/>
                <w:szCs w:val="20"/>
              </w:rPr>
            </w:pPr>
            <w:r>
              <w:rPr>
                <w:rFonts w:ascii="Times New Roman" w:hAnsi="Times New Roman" w:cs="Times New Roman"/>
                <w:sz w:val="20"/>
                <w:szCs w:val="20"/>
              </w:rPr>
              <w:t xml:space="preserve">      </w:t>
            </w:r>
            <w:r w:rsidR="00692FCE" w:rsidRPr="00692FCE">
              <w:rPr>
                <w:rFonts w:ascii="Times New Roman" w:hAnsi="Times New Roman" w:cs="Times New Roman"/>
                <w:sz w:val="20"/>
                <w:szCs w:val="20"/>
              </w:rPr>
              <w:t>Au niveau des rectorats, les responsables du contrôle budgétaire devront s’approprier tous les éléments de la réforme et se familiariser avec les nouveaux états budgétaires (en annexe).</w:t>
            </w:r>
          </w:p>
          <w:p w:rsidR="00692FCE" w:rsidRPr="00692FCE" w:rsidRDefault="00692FCE" w:rsidP="00692FCE">
            <w:pPr>
              <w:rPr>
                <w:rFonts w:ascii="Times New Roman" w:hAnsi="Times New Roman" w:cs="Times New Roman"/>
                <w:sz w:val="20"/>
                <w:szCs w:val="20"/>
              </w:rPr>
            </w:pPr>
          </w:p>
          <w:p w:rsidR="00F344E3" w:rsidRDefault="00ED349E" w:rsidP="00692FCE">
            <w:pPr>
              <w:rPr>
                <w:rFonts w:ascii="Times New Roman" w:hAnsi="Times New Roman" w:cs="Times New Roman"/>
                <w:sz w:val="20"/>
                <w:szCs w:val="20"/>
              </w:rPr>
            </w:pPr>
            <w:r>
              <w:rPr>
                <w:rFonts w:ascii="Times New Roman" w:hAnsi="Times New Roman" w:cs="Times New Roman"/>
                <w:sz w:val="20"/>
                <w:szCs w:val="20"/>
              </w:rPr>
              <w:t xml:space="preserve">      </w:t>
            </w:r>
            <w:r w:rsidR="00692FCE" w:rsidRPr="00692FCE">
              <w:rPr>
                <w:rFonts w:ascii="Times New Roman" w:hAnsi="Times New Roman" w:cs="Times New Roman"/>
                <w:sz w:val="20"/>
                <w:szCs w:val="20"/>
              </w:rPr>
              <w:t xml:space="preserve">Compte tenu des impacts et des enjeux de la réforme, une préparation et une programmation </w:t>
            </w:r>
            <w:r w:rsidR="00692FCE" w:rsidRPr="00ED349E">
              <w:rPr>
                <w:rFonts w:ascii="Times New Roman" w:hAnsi="Times New Roman" w:cs="Times New Roman"/>
                <w:b/>
                <w:sz w:val="20"/>
                <w:szCs w:val="20"/>
                <w:u w:val="single"/>
              </w:rPr>
              <w:t>des actions à mener notamment dans les établissements sont indispensables dès à présent</w:t>
            </w:r>
            <w:r w:rsidR="00692FCE" w:rsidRPr="00692FCE">
              <w:rPr>
                <w:rFonts w:ascii="Times New Roman" w:hAnsi="Times New Roman" w:cs="Times New Roman"/>
                <w:sz w:val="20"/>
                <w:szCs w:val="20"/>
              </w:rPr>
              <w:t xml:space="preserve">. </w:t>
            </w:r>
          </w:p>
          <w:p w:rsidR="00692FCE" w:rsidRDefault="00692FCE" w:rsidP="00692FCE">
            <w:pPr>
              <w:rPr>
                <w:rFonts w:ascii="Times New Roman" w:hAnsi="Times New Roman" w:cs="Times New Roman"/>
                <w:sz w:val="20"/>
                <w:szCs w:val="20"/>
              </w:rPr>
            </w:pPr>
          </w:p>
        </w:tc>
      </w:tr>
    </w:tbl>
    <w:p w:rsidR="002C6590" w:rsidRPr="009A16D0" w:rsidRDefault="002C6590" w:rsidP="007726B1">
      <w:pPr>
        <w:pBdr>
          <w:top w:val="single" w:sz="4" w:space="31" w:color="auto"/>
        </w:pBdr>
        <w:rPr>
          <w:rFonts w:ascii="Times New Roman" w:hAnsi="Times New Roman" w:cs="Times New Roman"/>
          <w:sz w:val="20"/>
          <w:szCs w:val="20"/>
        </w:rPr>
      </w:pPr>
    </w:p>
    <w:sectPr w:rsidR="002C6590" w:rsidRPr="009A16D0" w:rsidSect="00EC024E">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5F83"/>
    <w:multiLevelType w:val="hybridMultilevel"/>
    <w:tmpl w:val="FA6217CE"/>
    <w:lvl w:ilvl="0" w:tplc="66C27BD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7B5F05"/>
    <w:multiLevelType w:val="hybridMultilevel"/>
    <w:tmpl w:val="30A461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C92AD0"/>
    <w:multiLevelType w:val="hybridMultilevel"/>
    <w:tmpl w:val="963AD6F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A9C2CA9"/>
    <w:multiLevelType w:val="hybridMultilevel"/>
    <w:tmpl w:val="338023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BB72EE6"/>
    <w:multiLevelType w:val="hybridMultilevel"/>
    <w:tmpl w:val="D4403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787D79"/>
    <w:multiLevelType w:val="hybridMultilevel"/>
    <w:tmpl w:val="D9C02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E93A31"/>
    <w:multiLevelType w:val="hybridMultilevel"/>
    <w:tmpl w:val="750CDB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A827067"/>
    <w:multiLevelType w:val="hybridMultilevel"/>
    <w:tmpl w:val="D8E691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E1F1061"/>
    <w:multiLevelType w:val="hybridMultilevel"/>
    <w:tmpl w:val="290E5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D96283"/>
    <w:multiLevelType w:val="hybridMultilevel"/>
    <w:tmpl w:val="0B807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CB501F"/>
    <w:multiLevelType w:val="hybridMultilevel"/>
    <w:tmpl w:val="064A9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4DE4377"/>
    <w:multiLevelType w:val="hybridMultilevel"/>
    <w:tmpl w:val="D07A7A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8D11656"/>
    <w:multiLevelType w:val="hybridMultilevel"/>
    <w:tmpl w:val="68060BF6"/>
    <w:lvl w:ilvl="0" w:tplc="3D985C4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2DA16D3"/>
    <w:multiLevelType w:val="hybridMultilevel"/>
    <w:tmpl w:val="A7760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90821C5"/>
    <w:multiLevelType w:val="hybridMultilevel"/>
    <w:tmpl w:val="8938CB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DD42D68"/>
    <w:multiLevelType w:val="hybridMultilevel"/>
    <w:tmpl w:val="45B24F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1B62969"/>
    <w:multiLevelType w:val="hybridMultilevel"/>
    <w:tmpl w:val="CA9E84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A5617C0"/>
    <w:multiLevelType w:val="hybridMultilevel"/>
    <w:tmpl w:val="5BD2FC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C564C14"/>
    <w:multiLevelType w:val="hybridMultilevel"/>
    <w:tmpl w:val="4A5862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C9E1EFA"/>
    <w:multiLevelType w:val="hybridMultilevel"/>
    <w:tmpl w:val="04EE5F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4"/>
  </w:num>
  <w:num w:numId="4">
    <w:abstractNumId w:val="12"/>
  </w:num>
  <w:num w:numId="5">
    <w:abstractNumId w:val="0"/>
  </w:num>
  <w:num w:numId="6">
    <w:abstractNumId w:val="7"/>
  </w:num>
  <w:num w:numId="7">
    <w:abstractNumId w:val="8"/>
  </w:num>
  <w:num w:numId="8">
    <w:abstractNumId w:val="5"/>
  </w:num>
  <w:num w:numId="9">
    <w:abstractNumId w:val="3"/>
  </w:num>
  <w:num w:numId="10">
    <w:abstractNumId w:val="13"/>
  </w:num>
  <w:num w:numId="11">
    <w:abstractNumId w:val="4"/>
  </w:num>
  <w:num w:numId="12">
    <w:abstractNumId w:val="10"/>
  </w:num>
  <w:num w:numId="13">
    <w:abstractNumId w:val="9"/>
  </w:num>
  <w:num w:numId="14">
    <w:abstractNumId w:val="2"/>
  </w:num>
  <w:num w:numId="15">
    <w:abstractNumId w:val="16"/>
  </w:num>
  <w:num w:numId="16">
    <w:abstractNumId w:val="18"/>
  </w:num>
  <w:num w:numId="17">
    <w:abstractNumId w:val="6"/>
  </w:num>
  <w:num w:numId="18">
    <w:abstractNumId w:val="17"/>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04"/>
    <w:rsid w:val="00033E5D"/>
    <w:rsid w:val="000343AA"/>
    <w:rsid w:val="00042D63"/>
    <w:rsid w:val="00067A6F"/>
    <w:rsid w:val="00083AE4"/>
    <w:rsid w:val="00095210"/>
    <w:rsid w:val="00096675"/>
    <w:rsid w:val="000A3247"/>
    <w:rsid w:val="000A7915"/>
    <w:rsid w:val="000B258A"/>
    <w:rsid w:val="000F4D4C"/>
    <w:rsid w:val="00122114"/>
    <w:rsid w:val="00133AA7"/>
    <w:rsid w:val="00142123"/>
    <w:rsid w:val="001517A8"/>
    <w:rsid w:val="00164A4B"/>
    <w:rsid w:val="0017596C"/>
    <w:rsid w:val="00176AD7"/>
    <w:rsid w:val="001913D0"/>
    <w:rsid w:val="001A368D"/>
    <w:rsid w:val="001C2AB6"/>
    <w:rsid w:val="001C5202"/>
    <w:rsid w:val="001C7411"/>
    <w:rsid w:val="00202591"/>
    <w:rsid w:val="002048CC"/>
    <w:rsid w:val="002349CC"/>
    <w:rsid w:val="002475E1"/>
    <w:rsid w:val="00267276"/>
    <w:rsid w:val="00267B92"/>
    <w:rsid w:val="00275FE8"/>
    <w:rsid w:val="002B6FEC"/>
    <w:rsid w:val="002B7EED"/>
    <w:rsid w:val="002C35D0"/>
    <w:rsid w:val="002C6590"/>
    <w:rsid w:val="002D6774"/>
    <w:rsid w:val="002E453F"/>
    <w:rsid w:val="0032561E"/>
    <w:rsid w:val="00327CE3"/>
    <w:rsid w:val="003306C9"/>
    <w:rsid w:val="0033595C"/>
    <w:rsid w:val="003441F1"/>
    <w:rsid w:val="00372030"/>
    <w:rsid w:val="00375ACC"/>
    <w:rsid w:val="00394145"/>
    <w:rsid w:val="003B4F2C"/>
    <w:rsid w:val="003D0710"/>
    <w:rsid w:val="003F4F6E"/>
    <w:rsid w:val="003F58A8"/>
    <w:rsid w:val="0044021D"/>
    <w:rsid w:val="00456C8A"/>
    <w:rsid w:val="00484B6E"/>
    <w:rsid w:val="0049036D"/>
    <w:rsid w:val="00493DE6"/>
    <w:rsid w:val="004A7D1A"/>
    <w:rsid w:val="004B3214"/>
    <w:rsid w:val="004D2E63"/>
    <w:rsid w:val="004D4C6F"/>
    <w:rsid w:val="00511211"/>
    <w:rsid w:val="00521411"/>
    <w:rsid w:val="00522419"/>
    <w:rsid w:val="005270E3"/>
    <w:rsid w:val="00535D3C"/>
    <w:rsid w:val="00543B84"/>
    <w:rsid w:val="00570012"/>
    <w:rsid w:val="00576C14"/>
    <w:rsid w:val="00597E9C"/>
    <w:rsid w:val="005A4817"/>
    <w:rsid w:val="005B1C7F"/>
    <w:rsid w:val="005C7762"/>
    <w:rsid w:val="005D051F"/>
    <w:rsid w:val="006125B0"/>
    <w:rsid w:val="006249B9"/>
    <w:rsid w:val="00645D50"/>
    <w:rsid w:val="00647B75"/>
    <w:rsid w:val="00650371"/>
    <w:rsid w:val="00656545"/>
    <w:rsid w:val="00680C7C"/>
    <w:rsid w:val="006928F1"/>
    <w:rsid w:val="00692FCE"/>
    <w:rsid w:val="006A4A78"/>
    <w:rsid w:val="006A50BD"/>
    <w:rsid w:val="006C63F2"/>
    <w:rsid w:val="006F397A"/>
    <w:rsid w:val="006F3E11"/>
    <w:rsid w:val="006F61C2"/>
    <w:rsid w:val="00700883"/>
    <w:rsid w:val="00737B9C"/>
    <w:rsid w:val="00743EC0"/>
    <w:rsid w:val="00747D06"/>
    <w:rsid w:val="00757D41"/>
    <w:rsid w:val="0077111D"/>
    <w:rsid w:val="007726B1"/>
    <w:rsid w:val="007847B8"/>
    <w:rsid w:val="0078768C"/>
    <w:rsid w:val="00792A24"/>
    <w:rsid w:val="007B2988"/>
    <w:rsid w:val="007B57D5"/>
    <w:rsid w:val="007C3CA3"/>
    <w:rsid w:val="007C490B"/>
    <w:rsid w:val="007C56CE"/>
    <w:rsid w:val="007D4E34"/>
    <w:rsid w:val="007F0FE8"/>
    <w:rsid w:val="0080047E"/>
    <w:rsid w:val="008135D9"/>
    <w:rsid w:val="008415F2"/>
    <w:rsid w:val="008505C1"/>
    <w:rsid w:val="00852BF5"/>
    <w:rsid w:val="008610A2"/>
    <w:rsid w:val="00876873"/>
    <w:rsid w:val="00894698"/>
    <w:rsid w:val="008A1B65"/>
    <w:rsid w:val="008A2D40"/>
    <w:rsid w:val="008A3E38"/>
    <w:rsid w:val="008A7902"/>
    <w:rsid w:val="008B7CB5"/>
    <w:rsid w:val="008D3A6A"/>
    <w:rsid w:val="008E1FA1"/>
    <w:rsid w:val="008F54C4"/>
    <w:rsid w:val="009018F5"/>
    <w:rsid w:val="00914E89"/>
    <w:rsid w:val="00940EE2"/>
    <w:rsid w:val="009477D6"/>
    <w:rsid w:val="009512F5"/>
    <w:rsid w:val="009515DE"/>
    <w:rsid w:val="00955471"/>
    <w:rsid w:val="009559B0"/>
    <w:rsid w:val="00960C39"/>
    <w:rsid w:val="009A0F15"/>
    <w:rsid w:val="009A16D0"/>
    <w:rsid w:val="009A4B85"/>
    <w:rsid w:val="009D4644"/>
    <w:rsid w:val="009E662E"/>
    <w:rsid w:val="00A1408B"/>
    <w:rsid w:val="00A26052"/>
    <w:rsid w:val="00A26086"/>
    <w:rsid w:val="00A35EC5"/>
    <w:rsid w:val="00A559AB"/>
    <w:rsid w:val="00A9450A"/>
    <w:rsid w:val="00A9540E"/>
    <w:rsid w:val="00AB0465"/>
    <w:rsid w:val="00AB3280"/>
    <w:rsid w:val="00AC02F5"/>
    <w:rsid w:val="00AC4C01"/>
    <w:rsid w:val="00AE2CFC"/>
    <w:rsid w:val="00AE712F"/>
    <w:rsid w:val="00AF4CDF"/>
    <w:rsid w:val="00B02DB9"/>
    <w:rsid w:val="00B523CB"/>
    <w:rsid w:val="00B54991"/>
    <w:rsid w:val="00B549AE"/>
    <w:rsid w:val="00B5599F"/>
    <w:rsid w:val="00B64A74"/>
    <w:rsid w:val="00B70228"/>
    <w:rsid w:val="00B70AF5"/>
    <w:rsid w:val="00B87E2F"/>
    <w:rsid w:val="00B97F97"/>
    <w:rsid w:val="00BA1964"/>
    <w:rsid w:val="00BA35A3"/>
    <w:rsid w:val="00BC5E52"/>
    <w:rsid w:val="00BD20D5"/>
    <w:rsid w:val="00C001C2"/>
    <w:rsid w:val="00C1136F"/>
    <w:rsid w:val="00C12FCC"/>
    <w:rsid w:val="00C23DF1"/>
    <w:rsid w:val="00C32084"/>
    <w:rsid w:val="00C423A9"/>
    <w:rsid w:val="00C63066"/>
    <w:rsid w:val="00C729B4"/>
    <w:rsid w:val="00C754B6"/>
    <w:rsid w:val="00C974C4"/>
    <w:rsid w:val="00CA34A2"/>
    <w:rsid w:val="00CB05C8"/>
    <w:rsid w:val="00CB232C"/>
    <w:rsid w:val="00CD01CC"/>
    <w:rsid w:val="00CE75CE"/>
    <w:rsid w:val="00D04F4C"/>
    <w:rsid w:val="00D06FF1"/>
    <w:rsid w:val="00D230FC"/>
    <w:rsid w:val="00D23EF3"/>
    <w:rsid w:val="00D4332B"/>
    <w:rsid w:val="00D70E48"/>
    <w:rsid w:val="00D84804"/>
    <w:rsid w:val="00D859FB"/>
    <w:rsid w:val="00D925BA"/>
    <w:rsid w:val="00D94581"/>
    <w:rsid w:val="00DB292A"/>
    <w:rsid w:val="00DB3081"/>
    <w:rsid w:val="00DB62F0"/>
    <w:rsid w:val="00DC1042"/>
    <w:rsid w:val="00DC7FE5"/>
    <w:rsid w:val="00DD564F"/>
    <w:rsid w:val="00DF2643"/>
    <w:rsid w:val="00DF37B1"/>
    <w:rsid w:val="00DF5640"/>
    <w:rsid w:val="00E0279D"/>
    <w:rsid w:val="00E02DA2"/>
    <w:rsid w:val="00E153D9"/>
    <w:rsid w:val="00E25CDC"/>
    <w:rsid w:val="00E57508"/>
    <w:rsid w:val="00E66DC6"/>
    <w:rsid w:val="00E964D2"/>
    <w:rsid w:val="00EC024E"/>
    <w:rsid w:val="00ED349E"/>
    <w:rsid w:val="00EE12A8"/>
    <w:rsid w:val="00F016AD"/>
    <w:rsid w:val="00F0720C"/>
    <w:rsid w:val="00F344E3"/>
    <w:rsid w:val="00F66EFC"/>
    <w:rsid w:val="00FA486F"/>
    <w:rsid w:val="00FA698C"/>
    <w:rsid w:val="00FA76EE"/>
    <w:rsid w:val="00FD00D4"/>
    <w:rsid w:val="00FE3500"/>
    <w:rsid w:val="00FF55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qFormat/>
    <w:rsid w:val="008A790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84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43B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3B84"/>
    <w:rPr>
      <w:rFonts w:ascii="Tahoma" w:hAnsi="Tahoma" w:cs="Tahoma"/>
      <w:sz w:val="16"/>
      <w:szCs w:val="16"/>
    </w:rPr>
  </w:style>
  <w:style w:type="paragraph" w:styleId="Paragraphedeliste">
    <w:name w:val="List Paragraph"/>
    <w:basedOn w:val="Normal"/>
    <w:uiPriority w:val="34"/>
    <w:qFormat/>
    <w:rsid w:val="00E02DA2"/>
    <w:pPr>
      <w:ind w:left="720"/>
      <w:contextualSpacing/>
    </w:pPr>
  </w:style>
  <w:style w:type="character" w:customStyle="1" w:styleId="Titre3Car">
    <w:name w:val="Titre 3 Car"/>
    <w:basedOn w:val="Policepardfaut"/>
    <w:link w:val="Titre3"/>
    <w:rsid w:val="008A7902"/>
    <w:rPr>
      <w:rFonts w:ascii="Times New Roman" w:eastAsia="Times New Roman" w:hAnsi="Times New Roman" w:cs="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qFormat/>
    <w:rsid w:val="008A790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84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43B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3B84"/>
    <w:rPr>
      <w:rFonts w:ascii="Tahoma" w:hAnsi="Tahoma" w:cs="Tahoma"/>
      <w:sz w:val="16"/>
      <w:szCs w:val="16"/>
    </w:rPr>
  </w:style>
  <w:style w:type="paragraph" w:styleId="Paragraphedeliste">
    <w:name w:val="List Paragraph"/>
    <w:basedOn w:val="Normal"/>
    <w:uiPriority w:val="34"/>
    <w:qFormat/>
    <w:rsid w:val="00E02DA2"/>
    <w:pPr>
      <w:ind w:left="720"/>
      <w:contextualSpacing/>
    </w:pPr>
  </w:style>
  <w:style w:type="character" w:customStyle="1" w:styleId="Titre3Car">
    <w:name w:val="Titre 3 Car"/>
    <w:basedOn w:val="Policepardfaut"/>
    <w:link w:val="Titre3"/>
    <w:rsid w:val="008A7902"/>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D944E-E929-41C9-89D3-03283E32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4FB769DE</Template>
  <TotalTime>185</TotalTime>
  <Pages>3</Pages>
  <Words>1292</Words>
  <Characters>7107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RIVIERE</dc:creator>
  <cp:lastModifiedBy>NICOLAS RIVIERE</cp:lastModifiedBy>
  <cp:revision>26</cp:revision>
  <cp:lastPrinted>2014-06-02T12:35:00Z</cp:lastPrinted>
  <dcterms:created xsi:type="dcterms:W3CDTF">2014-06-02T09:24:00Z</dcterms:created>
  <dcterms:modified xsi:type="dcterms:W3CDTF">2014-06-02T14:32:00Z</dcterms:modified>
</cp:coreProperties>
</file>